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90877" w14:textId="6099DDF3" w:rsidR="00684B8F" w:rsidRDefault="00D84743">
      <w:r>
        <w:rPr>
          <w:noProof/>
        </w:rPr>
        <w:drawing>
          <wp:anchor distT="0" distB="0" distL="114300" distR="114300" simplePos="0" relativeHeight="251658752" behindDoc="0" locked="0" layoutInCell="1" allowOverlap="1" wp14:anchorId="4D6A3635" wp14:editId="24E79EAB">
            <wp:simplePos x="0" y="0"/>
            <wp:positionH relativeFrom="margin">
              <wp:posOffset>4581525</wp:posOffset>
            </wp:positionH>
            <wp:positionV relativeFrom="margin">
              <wp:posOffset>-101600</wp:posOffset>
            </wp:positionV>
            <wp:extent cx="1353185" cy="1426845"/>
            <wp:effectExtent l="0" t="0" r="0" b="0"/>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3185" cy="1426845"/>
                    </a:xfrm>
                    <a:prstGeom prst="rect">
                      <a:avLst/>
                    </a:prstGeom>
                    <a:noFill/>
                  </pic:spPr>
                </pic:pic>
              </a:graphicData>
            </a:graphic>
          </wp:anchor>
        </w:drawing>
      </w:r>
      <w:r w:rsidR="00E01A03">
        <w:t xml:space="preserve"> </w:t>
      </w:r>
      <w:r w:rsidR="000A5F52">
        <w:tab/>
      </w:r>
    </w:p>
    <w:p w14:paraId="1C767F18" w14:textId="27D4845B" w:rsidR="00684B8F" w:rsidRDefault="006012A8">
      <w:r>
        <w:rPr>
          <w:noProof/>
          <w:lang w:eastAsia="en-GB"/>
        </w:rPr>
        <w:drawing>
          <wp:inline distT="0" distB="0" distL="0" distR="0" wp14:anchorId="6C3AE03B" wp14:editId="3AEEDCAC">
            <wp:extent cx="1790700" cy="1300191"/>
            <wp:effectExtent l="0" t="0" r="0" b="0"/>
            <wp:docPr id="3" name="Picture 3" descr="C:\Users\andrew\AppData\Local\Packages\microsoft.windowscommunicationsapps_8wekyb3d8bbwe\LocalState\LiveComm\cf4a489511233c38\120712-0049\Att\20019805\LogoMyba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w\AppData\Local\Packages\microsoft.windowscommunicationsapps_8wekyb3d8bbwe\LocalState\LiveComm\cf4a489511233c38\120712-0049\Att\20019805\LogoMyba72dp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8308" cy="1305715"/>
                    </a:xfrm>
                    <a:prstGeom prst="rect">
                      <a:avLst/>
                    </a:prstGeom>
                    <a:noFill/>
                    <a:ln>
                      <a:noFill/>
                    </a:ln>
                  </pic:spPr>
                </pic:pic>
              </a:graphicData>
            </a:graphic>
          </wp:inline>
        </w:drawing>
      </w:r>
    </w:p>
    <w:p w14:paraId="08F68899" w14:textId="77777777" w:rsidR="00684B8F" w:rsidRDefault="00684B8F"/>
    <w:p w14:paraId="74E316FE" w14:textId="77777777" w:rsidR="00684B8F" w:rsidRDefault="00684B8F"/>
    <w:p w14:paraId="46F5FE11" w14:textId="77777777" w:rsidR="00684B8F" w:rsidRDefault="00684B8F"/>
    <w:p w14:paraId="6620AC50" w14:textId="77777777" w:rsidR="00AA68DD" w:rsidRDefault="00FF3D9D" w:rsidP="00684B8F">
      <w:pPr>
        <w:jc w:val="center"/>
        <w:rPr>
          <w:b/>
          <w:bCs/>
        </w:rPr>
      </w:pPr>
      <w:r>
        <w:rPr>
          <w:b/>
          <w:bCs/>
        </w:rPr>
        <w:t>IMO MEETING REPORT</w:t>
      </w:r>
    </w:p>
    <w:p w14:paraId="0E7F669C" w14:textId="77777777" w:rsidR="00684B8F" w:rsidRDefault="00684B8F" w:rsidP="00684B8F">
      <w:pPr>
        <w:jc w:val="center"/>
      </w:pPr>
    </w:p>
    <w:tbl>
      <w:tblPr>
        <w:tblW w:w="0" w:type="auto"/>
        <w:tblLook w:val="0000" w:firstRow="0" w:lastRow="0" w:firstColumn="0" w:lastColumn="0" w:noHBand="0" w:noVBand="0"/>
      </w:tblPr>
      <w:tblGrid>
        <w:gridCol w:w="4663"/>
        <w:gridCol w:w="4669"/>
      </w:tblGrid>
      <w:tr w:rsidR="00AA68DD" w14:paraId="783F3055" w14:textId="77777777">
        <w:tc>
          <w:tcPr>
            <w:tcW w:w="5238" w:type="dxa"/>
          </w:tcPr>
          <w:p w14:paraId="48903794" w14:textId="4A45BB71" w:rsidR="00AA68DD" w:rsidRDefault="00FF3D9D">
            <w:r>
              <w:t>DATE:</w:t>
            </w:r>
            <w:r>
              <w:tab/>
            </w:r>
            <w:r w:rsidR="003E58EC">
              <w:t xml:space="preserve"> </w:t>
            </w:r>
            <w:r w:rsidR="00CD46C7">
              <w:t>27</w:t>
            </w:r>
            <w:r w:rsidR="00CD46C7" w:rsidRPr="00CD46C7">
              <w:rPr>
                <w:vertAlign w:val="superscript"/>
              </w:rPr>
              <w:t>th</w:t>
            </w:r>
            <w:r w:rsidR="00CD46C7">
              <w:t xml:space="preserve"> May 2025</w:t>
            </w:r>
          </w:p>
          <w:p w14:paraId="5FB0F87D" w14:textId="77777777" w:rsidR="00AA68DD" w:rsidRDefault="00AA68DD"/>
        </w:tc>
        <w:tc>
          <w:tcPr>
            <w:tcW w:w="5238" w:type="dxa"/>
          </w:tcPr>
          <w:p w14:paraId="2339B771" w14:textId="77777777" w:rsidR="00AA68DD" w:rsidRDefault="00FF3D9D" w:rsidP="007A40ED">
            <w:r>
              <w:t>COMMITTEE:</w:t>
            </w:r>
            <w:r w:rsidR="00C71768">
              <w:t xml:space="preserve"> </w:t>
            </w:r>
            <w:r w:rsidR="007A40ED">
              <w:t>MSC</w:t>
            </w:r>
          </w:p>
        </w:tc>
      </w:tr>
      <w:tr w:rsidR="00AA68DD" w14:paraId="6494CA00" w14:textId="77777777">
        <w:tc>
          <w:tcPr>
            <w:tcW w:w="5238" w:type="dxa"/>
          </w:tcPr>
          <w:p w14:paraId="2B2E1541" w14:textId="2183E9C8" w:rsidR="00AA68DD" w:rsidRDefault="00FF3D9D" w:rsidP="00684B8F">
            <w:r>
              <w:t>ATTENDEE</w:t>
            </w:r>
            <w:r w:rsidR="00E540FD">
              <w:t>S</w:t>
            </w:r>
            <w:r>
              <w:t>:</w:t>
            </w:r>
            <w:r w:rsidR="00E540FD">
              <w:t xml:space="preserve"> </w:t>
            </w:r>
            <w:r w:rsidR="00C20A41">
              <w:t>Andy Williams</w:t>
            </w:r>
          </w:p>
        </w:tc>
        <w:tc>
          <w:tcPr>
            <w:tcW w:w="5238" w:type="dxa"/>
          </w:tcPr>
          <w:p w14:paraId="21F23981" w14:textId="4A1B0C53" w:rsidR="00AA68DD" w:rsidRDefault="00FF3D9D" w:rsidP="006772CB">
            <w:r>
              <w:t>SUB</w:t>
            </w:r>
            <w:r w:rsidR="00ED121E">
              <w:t>-</w:t>
            </w:r>
            <w:r>
              <w:t>GROUP:</w:t>
            </w:r>
            <w:r w:rsidR="00C71768">
              <w:t xml:space="preserve"> </w:t>
            </w:r>
            <w:r w:rsidR="007A40ED">
              <w:t>NCSR</w:t>
            </w:r>
          </w:p>
        </w:tc>
      </w:tr>
    </w:tbl>
    <w:p w14:paraId="3B164E6C" w14:textId="77777777" w:rsidR="00AA68DD" w:rsidRDefault="00AA68DD"/>
    <w:tbl>
      <w:tblPr>
        <w:tblW w:w="0" w:type="auto"/>
        <w:tblLook w:val="0000" w:firstRow="0" w:lastRow="0" w:firstColumn="0" w:lastColumn="0" w:noHBand="0" w:noVBand="0"/>
      </w:tblPr>
      <w:tblGrid>
        <w:gridCol w:w="9332"/>
      </w:tblGrid>
      <w:tr w:rsidR="00AA68DD" w14:paraId="56D97F7B" w14:textId="77777777" w:rsidTr="00C11044">
        <w:trPr>
          <w:trHeight w:val="3969"/>
        </w:trPr>
        <w:tc>
          <w:tcPr>
            <w:tcW w:w="10476" w:type="dxa"/>
          </w:tcPr>
          <w:p w14:paraId="61CB58B4" w14:textId="77777777" w:rsidR="00AA68DD" w:rsidRDefault="00AA68DD"/>
          <w:p w14:paraId="747F1115" w14:textId="03968B49" w:rsidR="00C731CE" w:rsidRDefault="00944A4E">
            <w:r>
              <w:t xml:space="preserve">This was the </w:t>
            </w:r>
            <w:r w:rsidR="00EB2D7B">
              <w:t>1</w:t>
            </w:r>
            <w:r w:rsidR="006D6F58">
              <w:t>2</w:t>
            </w:r>
            <w:r w:rsidR="001A64A1" w:rsidRPr="001A64A1">
              <w:rPr>
                <w:vertAlign w:val="superscript"/>
              </w:rPr>
              <w:t>th</w:t>
            </w:r>
            <w:r w:rsidR="001A64A1">
              <w:t xml:space="preserve"> </w:t>
            </w:r>
            <w:r>
              <w:t xml:space="preserve">session of the </w:t>
            </w:r>
            <w:r w:rsidR="007A40ED">
              <w:t>Sub-Committee on Navigation, Communicatio</w:t>
            </w:r>
            <w:r w:rsidR="000F3893">
              <w:t xml:space="preserve">ns and Search and Rescue </w:t>
            </w:r>
            <w:r w:rsidR="001A64A1">
              <w:t xml:space="preserve">(NCSR) </w:t>
            </w:r>
            <w:r>
              <w:t>held</w:t>
            </w:r>
            <w:r w:rsidR="006E2D85">
              <w:t xml:space="preserve"> </w:t>
            </w:r>
            <w:r>
              <w:t xml:space="preserve">from the </w:t>
            </w:r>
            <w:r w:rsidR="006D6F58">
              <w:t>13</w:t>
            </w:r>
            <w:r w:rsidR="00EB2D7B" w:rsidRPr="00EB2D7B">
              <w:rPr>
                <w:vertAlign w:val="superscript"/>
              </w:rPr>
              <w:t>th</w:t>
            </w:r>
            <w:r w:rsidR="00EB2D7B">
              <w:t xml:space="preserve"> </w:t>
            </w:r>
            <w:r w:rsidR="001A64A1">
              <w:t>to</w:t>
            </w:r>
            <w:r w:rsidR="006D6F58">
              <w:t xml:space="preserve"> 22</w:t>
            </w:r>
            <w:r w:rsidR="006D6F58" w:rsidRPr="006D6F58">
              <w:rPr>
                <w:vertAlign w:val="superscript"/>
              </w:rPr>
              <w:t>nd</w:t>
            </w:r>
            <w:r w:rsidR="006D6F58">
              <w:t xml:space="preserve"> May </w:t>
            </w:r>
            <w:r w:rsidR="006E2D85">
              <w:t>202</w:t>
            </w:r>
            <w:r w:rsidR="006D6F58">
              <w:t>5</w:t>
            </w:r>
            <w:r w:rsidR="006E2D85">
              <w:t>.</w:t>
            </w:r>
            <w:r w:rsidR="00B30EAC">
              <w:t xml:space="preserve"> I attended remotely on </w:t>
            </w:r>
            <w:r w:rsidR="006D6F58">
              <w:t>22</w:t>
            </w:r>
            <w:r w:rsidR="006D6F58" w:rsidRPr="006D6F58">
              <w:rPr>
                <w:vertAlign w:val="superscript"/>
              </w:rPr>
              <w:t>nd</w:t>
            </w:r>
            <w:r w:rsidR="006D6F58">
              <w:t xml:space="preserve"> May</w:t>
            </w:r>
            <w:r w:rsidR="00B30EAC">
              <w:t xml:space="preserve">. </w:t>
            </w:r>
          </w:p>
          <w:p w14:paraId="52339911" w14:textId="77777777" w:rsidR="006E2D85" w:rsidRDefault="006E2D85"/>
          <w:p w14:paraId="49BF4DBC" w14:textId="77777777" w:rsidR="00916602" w:rsidRDefault="00916602" w:rsidP="00916602">
            <w:pPr>
              <w:rPr>
                <w:u w:val="single"/>
              </w:rPr>
            </w:pPr>
            <w:r>
              <w:rPr>
                <w:u w:val="single"/>
              </w:rPr>
              <w:t>ITEMS OF INTEREST TO THE LEISURE/SUPERYACHT INDUSTRY</w:t>
            </w:r>
          </w:p>
          <w:p w14:paraId="02D8DCC9" w14:textId="77777777" w:rsidR="00CB7B3C" w:rsidRDefault="00CB7B3C" w:rsidP="00DB7D3A">
            <w:pPr>
              <w:rPr>
                <w:bCs/>
              </w:rPr>
            </w:pPr>
          </w:p>
          <w:p w14:paraId="23CA551A" w14:textId="1D69B50A" w:rsidR="00355A4A" w:rsidRDefault="00446081" w:rsidP="00BC0E89">
            <w:pPr>
              <w:tabs>
                <w:tab w:val="num" w:pos="720"/>
              </w:tabs>
              <w:rPr>
                <w:b/>
              </w:rPr>
            </w:pPr>
            <w:r>
              <w:rPr>
                <w:b/>
              </w:rPr>
              <w:t xml:space="preserve">Routeing measures and ship reporting systems </w:t>
            </w:r>
            <w:r w:rsidR="00DD646C">
              <w:rPr>
                <w:b/>
              </w:rPr>
              <w:t>–</w:t>
            </w:r>
            <w:r>
              <w:rPr>
                <w:b/>
              </w:rPr>
              <w:t xml:space="preserve"> </w:t>
            </w:r>
            <w:r w:rsidR="00355A4A">
              <w:rPr>
                <w:bCs/>
              </w:rPr>
              <w:t>The Sub-Committee agreed to the establishment of an area to be avoided of the coast of the Indian Ocean island of R</w:t>
            </w:r>
            <w:r w:rsidR="00355A4A" w:rsidRPr="00355A4A">
              <w:rPr>
                <w:bCs/>
              </w:rPr>
              <w:t>é</w:t>
            </w:r>
            <w:r w:rsidR="00355A4A">
              <w:rPr>
                <w:bCs/>
              </w:rPr>
              <w:t xml:space="preserve">union, in the Mascarene Basin. </w:t>
            </w:r>
            <w:r w:rsidR="00355A4A" w:rsidRPr="00355A4A">
              <w:rPr>
                <w:bCs/>
              </w:rPr>
              <w:t>The primary goal was to mitigate the risk of grounding and the resulting pollution along Réunion’s coastline, particularly in areas most vulnerable to Southern Ocean weather and powerful cyclonic swells, by directing maritime traffic further offshore.</w:t>
            </w:r>
            <w:r w:rsidR="00084E62">
              <w:rPr>
                <w:bCs/>
              </w:rPr>
              <w:t xml:space="preserve"> Full details of the area to be avoided, including a chart, can be found at annex 1 of the report of the Experts group in attached document NCSR 12/WP.4. </w:t>
            </w:r>
          </w:p>
          <w:p w14:paraId="507B7555" w14:textId="77777777" w:rsidR="00355A4A" w:rsidRDefault="00355A4A" w:rsidP="00BC0E89">
            <w:pPr>
              <w:tabs>
                <w:tab w:val="num" w:pos="720"/>
              </w:tabs>
              <w:rPr>
                <w:b/>
              </w:rPr>
            </w:pPr>
          </w:p>
          <w:p w14:paraId="5DA5A3CF" w14:textId="242F9532" w:rsidR="00BC0E89" w:rsidRDefault="00DD646C" w:rsidP="00BC0E89">
            <w:pPr>
              <w:tabs>
                <w:tab w:val="num" w:pos="720"/>
              </w:tabs>
              <w:rPr>
                <w:bCs/>
              </w:rPr>
            </w:pPr>
            <w:r>
              <w:rPr>
                <w:bCs/>
              </w:rPr>
              <w:t>The Sub-Committee agreed a draft MSC resolution on amendments to an existing mandatory ship reporting system in the Adriatic Sea (ADRIREP).</w:t>
            </w:r>
            <w:r w:rsidR="00BC0E89">
              <w:rPr>
                <w:bCs/>
              </w:rPr>
              <w:t xml:space="preserve"> The purpose of the amendments are:</w:t>
            </w:r>
          </w:p>
          <w:p w14:paraId="18061A0E" w14:textId="77777777" w:rsidR="00BC0E89" w:rsidRDefault="00BC0E89" w:rsidP="00BC0E89">
            <w:pPr>
              <w:tabs>
                <w:tab w:val="num" w:pos="720"/>
              </w:tabs>
              <w:rPr>
                <w:bCs/>
              </w:rPr>
            </w:pPr>
          </w:p>
          <w:p w14:paraId="01F5C1A4" w14:textId="7E943D71" w:rsidR="00BC0E89" w:rsidRDefault="00BC0E89" w:rsidP="00BC0E89">
            <w:pPr>
              <w:pStyle w:val="ListParagraph"/>
              <w:numPr>
                <w:ilvl w:val="0"/>
                <w:numId w:val="23"/>
              </w:numPr>
              <w:tabs>
                <w:tab w:val="num" w:pos="720"/>
              </w:tabs>
              <w:rPr>
                <w:bCs/>
              </w:rPr>
            </w:pPr>
            <w:r w:rsidRPr="00BC0E89">
              <w:rPr>
                <w:bCs/>
              </w:rPr>
              <w:t xml:space="preserve">To reduce administrative burdens on ships by automating reporting. </w:t>
            </w:r>
          </w:p>
          <w:p w14:paraId="4C125392" w14:textId="7C23B531" w:rsidR="00BC0E89" w:rsidRDefault="00BC0E89" w:rsidP="00BC0E89">
            <w:pPr>
              <w:pStyle w:val="ListParagraph"/>
              <w:numPr>
                <w:ilvl w:val="0"/>
                <w:numId w:val="23"/>
              </w:numPr>
              <w:tabs>
                <w:tab w:val="num" w:pos="720"/>
              </w:tabs>
              <w:rPr>
                <w:bCs/>
              </w:rPr>
            </w:pPr>
            <w:r>
              <w:rPr>
                <w:bCs/>
              </w:rPr>
              <w:t xml:space="preserve">To </w:t>
            </w:r>
            <w:r w:rsidRPr="00BC0E89">
              <w:rPr>
                <w:bCs/>
              </w:rPr>
              <w:t>include Albania, Bosnia and Herzegovina, and Greece to improve overall safety.</w:t>
            </w:r>
          </w:p>
          <w:p w14:paraId="761CDB35" w14:textId="105661EC" w:rsidR="00BC0E89" w:rsidRPr="00BC0E89" w:rsidRDefault="00BC0E89" w:rsidP="00BC0E89">
            <w:pPr>
              <w:pStyle w:val="ListParagraph"/>
              <w:numPr>
                <w:ilvl w:val="0"/>
                <w:numId w:val="23"/>
              </w:numPr>
              <w:tabs>
                <w:tab w:val="num" w:pos="720"/>
              </w:tabs>
              <w:rPr>
                <w:bCs/>
              </w:rPr>
            </w:pPr>
            <w:r>
              <w:t>To expand the application of ships required to report:</w:t>
            </w:r>
          </w:p>
          <w:p w14:paraId="7E1BAB8F" w14:textId="77777777" w:rsidR="00BC0E89" w:rsidRPr="00BC0E89" w:rsidRDefault="00BC0E89" w:rsidP="00BC0E89">
            <w:pPr>
              <w:numPr>
                <w:ilvl w:val="1"/>
                <w:numId w:val="18"/>
              </w:numPr>
              <w:rPr>
                <w:bCs/>
              </w:rPr>
            </w:pPr>
            <w:r w:rsidRPr="00BC0E89">
              <w:rPr>
                <w:bCs/>
              </w:rPr>
              <w:t>Oil tankers of 150 gross tonnage and above.</w:t>
            </w:r>
          </w:p>
          <w:p w14:paraId="06918763" w14:textId="77777777" w:rsidR="00BC0E89" w:rsidRPr="00BC0E89" w:rsidRDefault="00BC0E89" w:rsidP="00BC0E89">
            <w:pPr>
              <w:numPr>
                <w:ilvl w:val="1"/>
                <w:numId w:val="18"/>
              </w:numPr>
              <w:rPr>
                <w:bCs/>
              </w:rPr>
            </w:pPr>
            <w:r w:rsidRPr="00BC0E89">
              <w:rPr>
                <w:bCs/>
              </w:rPr>
              <w:t>Ships of 10,000 gross tonnage and above.</w:t>
            </w:r>
          </w:p>
          <w:p w14:paraId="18038CF3" w14:textId="77777777" w:rsidR="00BC0E89" w:rsidRDefault="00BC0E89" w:rsidP="00BC0E89">
            <w:pPr>
              <w:numPr>
                <w:ilvl w:val="1"/>
                <w:numId w:val="18"/>
              </w:numPr>
              <w:rPr>
                <w:bCs/>
              </w:rPr>
            </w:pPr>
            <w:r w:rsidRPr="00BC0E89">
              <w:rPr>
                <w:bCs/>
              </w:rPr>
              <w:t>Ships carrying dangerous or polluting goods.</w:t>
            </w:r>
          </w:p>
          <w:p w14:paraId="37092988" w14:textId="3A59E995" w:rsidR="00BC0E89" w:rsidRDefault="00BC0E89" w:rsidP="00A41ABB">
            <w:pPr>
              <w:pStyle w:val="ListParagraph"/>
              <w:numPr>
                <w:ilvl w:val="0"/>
                <w:numId w:val="18"/>
              </w:numPr>
              <w:rPr>
                <w:bCs/>
              </w:rPr>
            </w:pPr>
            <w:r w:rsidRPr="00A41ABB">
              <w:rPr>
                <w:bCs/>
              </w:rPr>
              <w:t>Utili</w:t>
            </w:r>
            <w:r w:rsidR="00A41ABB">
              <w:rPr>
                <w:bCs/>
              </w:rPr>
              <w:t>s</w:t>
            </w:r>
            <w:r w:rsidRPr="00A41ABB">
              <w:rPr>
                <w:bCs/>
              </w:rPr>
              <w:t>e AIS and maritime national single window systems to reduce reliance on VHF communication.</w:t>
            </w:r>
          </w:p>
          <w:p w14:paraId="73C5D50D" w14:textId="54986058" w:rsidR="00BC0E89" w:rsidRDefault="00A41ABB" w:rsidP="00BC0E89">
            <w:pPr>
              <w:numPr>
                <w:ilvl w:val="0"/>
                <w:numId w:val="20"/>
              </w:numPr>
              <w:rPr>
                <w:bCs/>
              </w:rPr>
            </w:pPr>
            <w:r>
              <w:rPr>
                <w:bCs/>
              </w:rPr>
              <w:t>T</w:t>
            </w:r>
            <w:r w:rsidR="00BC0E89" w:rsidRPr="00BC0E89">
              <w:rPr>
                <w:bCs/>
              </w:rPr>
              <w:t>o reduce the risk of pollution in the semi-enclosed Adriatic Sea.</w:t>
            </w:r>
          </w:p>
          <w:p w14:paraId="5A668849" w14:textId="77777777" w:rsidR="00A41ABB" w:rsidRDefault="00A41ABB" w:rsidP="00A41ABB">
            <w:pPr>
              <w:rPr>
                <w:bCs/>
              </w:rPr>
            </w:pPr>
          </w:p>
          <w:p w14:paraId="036527C9" w14:textId="588AA53B" w:rsidR="00BC0E89" w:rsidRDefault="00A41ABB" w:rsidP="00A41ABB">
            <w:pPr>
              <w:rPr>
                <w:bCs/>
              </w:rPr>
            </w:pPr>
            <w:r>
              <w:rPr>
                <w:bCs/>
              </w:rPr>
              <w:t>The a</w:t>
            </w:r>
            <w:r w:rsidR="00BC0E89" w:rsidRPr="00BC0E89">
              <w:rPr>
                <w:bCs/>
              </w:rPr>
              <w:t xml:space="preserve">mendments </w:t>
            </w:r>
            <w:r>
              <w:rPr>
                <w:bCs/>
              </w:rPr>
              <w:t xml:space="preserve">are expected </w:t>
            </w:r>
            <w:r w:rsidR="00BC0E89" w:rsidRPr="00BC0E89">
              <w:rPr>
                <w:bCs/>
              </w:rPr>
              <w:t>to enter into force 12 months after adoption</w:t>
            </w:r>
            <w:r>
              <w:rPr>
                <w:bCs/>
              </w:rPr>
              <w:t xml:space="preserve"> at MSC 111 in May 2026 which means May 2027. Full details of the reporting system and the amendments can be found at annex 2 of the report of the Experts group in attached document NCSR 12/WP.4.</w:t>
            </w:r>
          </w:p>
          <w:p w14:paraId="25ABEBF3" w14:textId="77777777" w:rsidR="00A41ABB" w:rsidRDefault="00A41ABB" w:rsidP="00A41ABB">
            <w:pPr>
              <w:rPr>
                <w:bCs/>
              </w:rPr>
            </w:pPr>
          </w:p>
          <w:p w14:paraId="1DCF3282" w14:textId="01AFA640" w:rsidR="00A41ABB" w:rsidRPr="00BC0E89" w:rsidRDefault="003307B0" w:rsidP="00A41ABB">
            <w:pPr>
              <w:rPr>
                <w:bCs/>
              </w:rPr>
            </w:pPr>
            <w:r>
              <w:rPr>
                <w:bCs/>
              </w:rPr>
              <w:t xml:space="preserve">The Sub-Committee agreed draft amendments to </w:t>
            </w:r>
            <w:r w:rsidRPr="003307B0">
              <w:rPr>
                <w:bCs/>
              </w:rPr>
              <w:t xml:space="preserve">Resolution MSC.314(88) as a new annex for In </w:t>
            </w:r>
            <w:r w:rsidRPr="003307B0">
              <w:rPr>
                <w:bCs/>
              </w:rPr>
              <w:lastRenderedPageBreak/>
              <w:t>the Sound Between Denmark and</w:t>
            </w:r>
            <w:r>
              <w:rPr>
                <w:bCs/>
              </w:rPr>
              <w:t xml:space="preserve"> </w:t>
            </w:r>
            <w:r w:rsidRPr="003307B0">
              <w:rPr>
                <w:bCs/>
              </w:rPr>
              <w:t xml:space="preserve">Sweden (SOUNDREP) and draft amendments to MSC.332 (90) in the existing annex for In the </w:t>
            </w:r>
            <w:proofErr w:type="spellStart"/>
            <w:r w:rsidRPr="003307B0">
              <w:rPr>
                <w:bCs/>
              </w:rPr>
              <w:t>Storebælt</w:t>
            </w:r>
            <w:proofErr w:type="spellEnd"/>
            <w:r>
              <w:rPr>
                <w:bCs/>
              </w:rPr>
              <w:t xml:space="preserve"> </w:t>
            </w:r>
            <w:r w:rsidRPr="003307B0">
              <w:rPr>
                <w:bCs/>
              </w:rPr>
              <w:t>(Great Belt) Traffic Area (BELREP) ship reporting systems.</w:t>
            </w:r>
          </w:p>
          <w:p w14:paraId="7ED3216C" w14:textId="77777777" w:rsidR="00446081" w:rsidRDefault="00446081" w:rsidP="00DB7D3A">
            <w:pPr>
              <w:rPr>
                <w:bCs/>
              </w:rPr>
            </w:pPr>
          </w:p>
          <w:p w14:paraId="22249116" w14:textId="5BC01C98" w:rsidR="003307B0" w:rsidRPr="003307B0" w:rsidRDefault="003307B0" w:rsidP="003307B0">
            <w:pPr>
              <w:rPr>
                <w:bCs/>
                <w:lang w:val="fr-FR"/>
              </w:rPr>
            </w:pPr>
            <w:r>
              <w:rPr>
                <w:bCs/>
              </w:rPr>
              <w:t xml:space="preserve">Described by the proposers of the amendments as minor in nature, </w:t>
            </w:r>
            <w:r w:rsidR="00166910">
              <w:rPr>
                <w:bCs/>
              </w:rPr>
              <w:t>t</w:t>
            </w:r>
            <w:proofErr w:type="spellStart"/>
            <w:r w:rsidRPr="003307B0">
              <w:rPr>
                <w:bCs/>
                <w:lang w:val="fr-FR"/>
              </w:rPr>
              <w:t>he</w:t>
            </w:r>
            <w:proofErr w:type="spellEnd"/>
            <w:r w:rsidRPr="003307B0">
              <w:rPr>
                <w:bCs/>
                <w:lang w:val="fr-FR"/>
              </w:rPr>
              <w:t xml:space="preserve"> </w:t>
            </w:r>
            <w:proofErr w:type="spellStart"/>
            <w:r w:rsidRPr="003307B0">
              <w:rPr>
                <w:bCs/>
                <w:lang w:val="fr-FR"/>
              </w:rPr>
              <w:t>amendment</w:t>
            </w:r>
            <w:proofErr w:type="spellEnd"/>
            <w:r w:rsidRPr="003307B0">
              <w:rPr>
                <w:bCs/>
                <w:lang w:val="fr-FR"/>
              </w:rPr>
              <w:t xml:space="preserve"> </w:t>
            </w:r>
            <w:proofErr w:type="spellStart"/>
            <w:r w:rsidRPr="003307B0">
              <w:rPr>
                <w:bCs/>
                <w:lang w:val="fr-FR"/>
              </w:rPr>
              <w:t>aims</w:t>
            </w:r>
            <w:proofErr w:type="spellEnd"/>
            <w:r w:rsidRPr="003307B0">
              <w:rPr>
                <w:bCs/>
                <w:lang w:val="fr-FR"/>
              </w:rPr>
              <w:t xml:space="preserve"> to </w:t>
            </w:r>
            <w:proofErr w:type="spellStart"/>
            <w:r w:rsidRPr="003307B0">
              <w:rPr>
                <w:bCs/>
                <w:lang w:val="fr-FR"/>
              </w:rPr>
              <w:t>improve</w:t>
            </w:r>
            <w:proofErr w:type="spellEnd"/>
            <w:r w:rsidRPr="003307B0">
              <w:rPr>
                <w:bCs/>
                <w:lang w:val="fr-FR"/>
              </w:rPr>
              <w:t xml:space="preserve"> </w:t>
            </w:r>
            <w:proofErr w:type="spellStart"/>
            <w:r w:rsidRPr="003307B0">
              <w:rPr>
                <w:bCs/>
                <w:lang w:val="fr-FR"/>
              </w:rPr>
              <w:t>coastal</w:t>
            </w:r>
            <w:proofErr w:type="spellEnd"/>
            <w:r w:rsidRPr="003307B0">
              <w:rPr>
                <w:bCs/>
                <w:lang w:val="fr-FR"/>
              </w:rPr>
              <w:t xml:space="preserve"> States' </w:t>
            </w:r>
            <w:proofErr w:type="spellStart"/>
            <w:r w:rsidRPr="003307B0">
              <w:rPr>
                <w:bCs/>
                <w:lang w:val="fr-FR"/>
              </w:rPr>
              <w:t>access</w:t>
            </w:r>
            <w:proofErr w:type="spellEnd"/>
            <w:r w:rsidRPr="003307B0">
              <w:rPr>
                <w:bCs/>
                <w:lang w:val="fr-FR"/>
              </w:rPr>
              <w:t xml:space="preserve"> to essential information, </w:t>
            </w:r>
            <w:proofErr w:type="spellStart"/>
            <w:r w:rsidRPr="003307B0">
              <w:rPr>
                <w:bCs/>
                <w:lang w:val="fr-FR"/>
              </w:rPr>
              <w:t>including</w:t>
            </w:r>
            <w:proofErr w:type="spellEnd"/>
            <w:r w:rsidRPr="003307B0">
              <w:rPr>
                <w:bCs/>
                <w:lang w:val="fr-FR"/>
              </w:rPr>
              <w:t xml:space="preserve"> maritime </w:t>
            </w:r>
            <w:proofErr w:type="spellStart"/>
            <w:r w:rsidRPr="003307B0">
              <w:rPr>
                <w:bCs/>
                <w:lang w:val="fr-FR"/>
              </w:rPr>
              <w:t>insurance</w:t>
            </w:r>
            <w:proofErr w:type="spellEnd"/>
            <w:r w:rsidRPr="003307B0">
              <w:rPr>
                <w:bCs/>
                <w:lang w:val="fr-FR"/>
              </w:rPr>
              <w:t xml:space="preserve"> </w:t>
            </w:r>
            <w:proofErr w:type="spellStart"/>
            <w:r w:rsidRPr="003307B0">
              <w:rPr>
                <w:bCs/>
                <w:lang w:val="fr-FR"/>
              </w:rPr>
              <w:t>details</w:t>
            </w:r>
            <w:proofErr w:type="spellEnd"/>
            <w:r w:rsidRPr="003307B0">
              <w:rPr>
                <w:bCs/>
                <w:lang w:val="fr-FR"/>
              </w:rPr>
              <w:t xml:space="preserve">, for more efficient monitoring and management of maritime </w:t>
            </w:r>
            <w:proofErr w:type="spellStart"/>
            <w:r w:rsidRPr="003307B0">
              <w:rPr>
                <w:bCs/>
                <w:lang w:val="fr-FR"/>
              </w:rPr>
              <w:t>traffic</w:t>
            </w:r>
            <w:proofErr w:type="spellEnd"/>
            <w:r w:rsidRPr="003307B0">
              <w:rPr>
                <w:bCs/>
                <w:lang w:val="fr-FR"/>
              </w:rPr>
              <w:t xml:space="preserve">. This </w:t>
            </w:r>
            <w:proofErr w:type="spellStart"/>
            <w:r w:rsidRPr="003307B0">
              <w:rPr>
                <w:bCs/>
                <w:lang w:val="fr-FR"/>
              </w:rPr>
              <w:t>enhancement</w:t>
            </w:r>
            <w:proofErr w:type="spellEnd"/>
            <w:r w:rsidRPr="003307B0">
              <w:rPr>
                <w:bCs/>
                <w:lang w:val="fr-FR"/>
              </w:rPr>
              <w:t xml:space="preserve"> </w:t>
            </w:r>
            <w:proofErr w:type="spellStart"/>
            <w:r w:rsidRPr="003307B0">
              <w:rPr>
                <w:bCs/>
                <w:lang w:val="fr-FR"/>
              </w:rPr>
              <w:t>will</w:t>
            </w:r>
            <w:proofErr w:type="spellEnd"/>
            <w:r w:rsidRPr="003307B0">
              <w:rPr>
                <w:bCs/>
                <w:lang w:val="fr-FR"/>
              </w:rPr>
              <w:t xml:space="preserve"> help States </w:t>
            </w:r>
            <w:proofErr w:type="spellStart"/>
            <w:r w:rsidRPr="003307B0">
              <w:rPr>
                <w:bCs/>
                <w:lang w:val="fr-FR"/>
              </w:rPr>
              <w:t>better</w:t>
            </w:r>
            <w:proofErr w:type="spellEnd"/>
            <w:r w:rsidRPr="003307B0">
              <w:rPr>
                <w:bCs/>
                <w:lang w:val="fr-FR"/>
              </w:rPr>
              <w:t xml:space="preserve"> </w:t>
            </w:r>
            <w:proofErr w:type="spellStart"/>
            <w:r w:rsidRPr="003307B0">
              <w:rPr>
                <w:bCs/>
                <w:lang w:val="fr-FR"/>
              </w:rPr>
              <w:t>protect</w:t>
            </w:r>
            <w:proofErr w:type="spellEnd"/>
            <w:r w:rsidRPr="003307B0">
              <w:rPr>
                <w:bCs/>
                <w:lang w:val="fr-FR"/>
              </w:rPr>
              <w:t xml:space="preserve"> the marine </w:t>
            </w:r>
            <w:proofErr w:type="spellStart"/>
            <w:r w:rsidRPr="003307B0">
              <w:rPr>
                <w:bCs/>
                <w:lang w:val="fr-FR"/>
              </w:rPr>
              <w:t>environment</w:t>
            </w:r>
            <w:proofErr w:type="spellEnd"/>
            <w:r w:rsidRPr="003307B0">
              <w:rPr>
                <w:bCs/>
                <w:lang w:val="fr-FR"/>
              </w:rPr>
              <w:t xml:space="preserve">, </w:t>
            </w:r>
            <w:proofErr w:type="spellStart"/>
            <w:r w:rsidRPr="003307B0">
              <w:rPr>
                <w:bCs/>
                <w:lang w:val="fr-FR"/>
              </w:rPr>
              <w:t>particularly</w:t>
            </w:r>
            <w:proofErr w:type="spellEnd"/>
            <w:r w:rsidRPr="003307B0">
              <w:rPr>
                <w:bCs/>
                <w:lang w:val="fr-FR"/>
              </w:rPr>
              <w:t xml:space="preserve"> in areas </w:t>
            </w:r>
            <w:proofErr w:type="spellStart"/>
            <w:r w:rsidRPr="003307B0">
              <w:rPr>
                <w:bCs/>
                <w:lang w:val="fr-FR"/>
              </w:rPr>
              <w:t>designated</w:t>
            </w:r>
            <w:proofErr w:type="spellEnd"/>
            <w:r w:rsidRPr="003307B0">
              <w:rPr>
                <w:bCs/>
                <w:lang w:val="fr-FR"/>
              </w:rPr>
              <w:t xml:space="preserve"> as </w:t>
            </w:r>
            <w:proofErr w:type="spellStart"/>
            <w:r w:rsidRPr="003307B0">
              <w:rPr>
                <w:bCs/>
                <w:lang w:val="fr-FR"/>
              </w:rPr>
              <w:t>Particularly</w:t>
            </w:r>
            <w:proofErr w:type="spellEnd"/>
            <w:r w:rsidRPr="003307B0">
              <w:rPr>
                <w:bCs/>
                <w:lang w:val="fr-FR"/>
              </w:rPr>
              <w:t xml:space="preserve"> Sensitive </w:t>
            </w:r>
            <w:proofErr w:type="spellStart"/>
            <w:r w:rsidRPr="003307B0">
              <w:rPr>
                <w:bCs/>
                <w:lang w:val="fr-FR"/>
              </w:rPr>
              <w:t>Sea</w:t>
            </w:r>
            <w:proofErr w:type="spellEnd"/>
            <w:r w:rsidRPr="003307B0">
              <w:rPr>
                <w:bCs/>
                <w:lang w:val="fr-FR"/>
              </w:rPr>
              <w:t xml:space="preserve"> Areas (PSSA). </w:t>
            </w:r>
            <w:proofErr w:type="spellStart"/>
            <w:r w:rsidRPr="003307B0">
              <w:rPr>
                <w:bCs/>
                <w:lang w:val="fr-FR"/>
              </w:rPr>
              <w:t>Additionally</w:t>
            </w:r>
            <w:proofErr w:type="spellEnd"/>
            <w:r w:rsidRPr="003307B0">
              <w:rPr>
                <w:bCs/>
                <w:lang w:val="fr-FR"/>
              </w:rPr>
              <w:t xml:space="preserve">, the </w:t>
            </w:r>
            <w:proofErr w:type="spellStart"/>
            <w:r w:rsidRPr="003307B0">
              <w:rPr>
                <w:bCs/>
                <w:lang w:val="fr-FR"/>
              </w:rPr>
              <w:t>amendment</w:t>
            </w:r>
            <w:proofErr w:type="spellEnd"/>
            <w:r w:rsidRPr="003307B0">
              <w:rPr>
                <w:bCs/>
                <w:lang w:val="fr-FR"/>
              </w:rPr>
              <w:t xml:space="preserve"> </w:t>
            </w:r>
            <w:proofErr w:type="spellStart"/>
            <w:r w:rsidRPr="003307B0">
              <w:rPr>
                <w:bCs/>
                <w:lang w:val="fr-FR"/>
              </w:rPr>
              <w:t>seeks</w:t>
            </w:r>
            <w:proofErr w:type="spellEnd"/>
            <w:r w:rsidRPr="003307B0">
              <w:rPr>
                <w:bCs/>
                <w:lang w:val="fr-FR"/>
              </w:rPr>
              <w:t xml:space="preserve"> to </w:t>
            </w:r>
            <w:proofErr w:type="spellStart"/>
            <w:r w:rsidRPr="003307B0">
              <w:rPr>
                <w:bCs/>
                <w:lang w:val="fr-FR"/>
              </w:rPr>
              <w:t>streamline</w:t>
            </w:r>
            <w:proofErr w:type="spellEnd"/>
            <w:r w:rsidRPr="003307B0">
              <w:rPr>
                <w:bCs/>
                <w:lang w:val="fr-FR"/>
              </w:rPr>
              <w:t xml:space="preserve"> </w:t>
            </w:r>
            <w:proofErr w:type="spellStart"/>
            <w:r w:rsidRPr="003307B0">
              <w:rPr>
                <w:bCs/>
                <w:lang w:val="fr-FR"/>
              </w:rPr>
              <w:t>electronic</w:t>
            </w:r>
            <w:proofErr w:type="spellEnd"/>
            <w:r w:rsidRPr="003307B0">
              <w:rPr>
                <w:bCs/>
                <w:lang w:val="fr-FR"/>
              </w:rPr>
              <w:t xml:space="preserve"> </w:t>
            </w:r>
            <w:proofErr w:type="spellStart"/>
            <w:r w:rsidRPr="003307B0">
              <w:rPr>
                <w:bCs/>
                <w:lang w:val="fr-FR"/>
              </w:rPr>
              <w:t>ship</w:t>
            </w:r>
            <w:proofErr w:type="spellEnd"/>
            <w:r w:rsidRPr="003307B0">
              <w:rPr>
                <w:bCs/>
                <w:lang w:val="fr-FR"/>
              </w:rPr>
              <w:t xml:space="preserve">-to-shore information exchange and automate </w:t>
            </w:r>
            <w:proofErr w:type="spellStart"/>
            <w:r w:rsidRPr="003307B0">
              <w:rPr>
                <w:bCs/>
                <w:lang w:val="fr-FR"/>
              </w:rPr>
              <w:t>ship</w:t>
            </w:r>
            <w:proofErr w:type="spellEnd"/>
            <w:r w:rsidRPr="003307B0">
              <w:rPr>
                <w:bCs/>
                <w:lang w:val="fr-FR"/>
              </w:rPr>
              <w:t xml:space="preserve"> </w:t>
            </w:r>
            <w:proofErr w:type="spellStart"/>
            <w:r w:rsidRPr="003307B0">
              <w:rPr>
                <w:bCs/>
                <w:lang w:val="fr-FR"/>
              </w:rPr>
              <w:t>reporting</w:t>
            </w:r>
            <w:proofErr w:type="spellEnd"/>
            <w:r w:rsidRPr="003307B0">
              <w:rPr>
                <w:bCs/>
                <w:lang w:val="fr-FR"/>
              </w:rPr>
              <w:t xml:space="preserve"> </w:t>
            </w:r>
            <w:proofErr w:type="spellStart"/>
            <w:r w:rsidRPr="003307B0">
              <w:rPr>
                <w:bCs/>
                <w:lang w:val="fr-FR"/>
              </w:rPr>
              <w:t>processes</w:t>
            </w:r>
            <w:proofErr w:type="spellEnd"/>
            <w:r w:rsidRPr="003307B0">
              <w:rPr>
                <w:bCs/>
                <w:lang w:val="fr-FR"/>
              </w:rPr>
              <w:t xml:space="preserve">, </w:t>
            </w:r>
            <w:proofErr w:type="spellStart"/>
            <w:r w:rsidRPr="003307B0">
              <w:rPr>
                <w:bCs/>
                <w:lang w:val="fr-FR"/>
              </w:rPr>
              <w:t>reducing</w:t>
            </w:r>
            <w:proofErr w:type="spellEnd"/>
            <w:r w:rsidRPr="003307B0">
              <w:rPr>
                <w:bCs/>
                <w:lang w:val="fr-FR"/>
              </w:rPr>
              <w:t xml:space="preserve"> administrative </w:t>
            </w:r>
            <w:proofErr w:type="spellStart"/>
            <w:r w:rsidRPr="003307B0">
              <w:rPr>
                <w:bCs/>
                <w:lang w:val="fr-FR"/>
              </w:rPr>
              <w:t>burdens</w:t>
            </w:r>
            <w:proofErr w:type="spellEnd"/>
            <w:r w:rsidRPr="003307B0">
              <w:rPr>
                <w:bCs/>
                <w:lang w:val="fr-FR"/>
              </w:rPr>
              <w:t xml:space="preserve"> on </w:t>
            </w:r>
            <w:proofErr w:type="spellStart"/>
            <w:r w:rsidRPr="003307B0">
              <w:rPr>
                <w:bCs/>
                <w:lang w:val="fr-FR"/>
              </w:rPr>
              <w:t>ships</w:t>
            </w:r>
            <w:proofErr w:type="spellEnd"/>
            <w:r w:rsidRPr="003307B0">
              <w:rPr>
                <w:bCs/>
                <w:lang w:val="fr-FR"/>
              </w:rPr>
              <w:t xml:space="preserve"> </w:t>
            </w:r>
            <w:proofErr w:type="spellStart"/>
            <w:r w:rsidRPr="003307B0">
              <w:rPr>
                <w:bCs/>
                <w:lang w:val="fr-FR"/>
              </w:rPr>
              <w:t>while</w:t>
            </w:r>
            <w:proofErr w:type="spellEnd"/>
            <w:r w:rsidRPr="003307B0">
              <w:rPr>
                <w:bCs/>
                <w:lang w:val="fr-FR"/>
              </w:rPr>
              <w:t xml:space="preserve"> </w:t>
            </w:r>
            <w:proofErr w:type="spellStart"/>
            <w:r w:rsidRPr="003307B0">
              <w:rPr>
                <w:bCs/>
                <w:lang w:val="fr-FR"/>
              </w:rPr>
              <w:t>enhancing</w:t>
            </w:r>
            <w:proofErr w:type="spellEnd"/>
            <w:r w:rsidRPr="003307B0">
              <w:rPr>
                <w:bCs/>
                <w:lang w:val="fr-FR"/>
              </w:rPr>
              <w:t xml:space="preserve"> navigation monitoring </w:t>
            </w:r>
            <w:proofErr w:type="spellStart"/>
            <w:r w:rsidRPr="003307B0">
              <w:rPr>
                <w:bCs/>
                <w:lang w:val="fr-FR"/>
              </w:rPr>
              <w:t>through</w:t>
            </w:r>
            <w:proofErr w:type="spellEnd"/>
            <w:r w:rsidRPr="003307B0">
              <w:rPr>
                <w:bCs/>
                <w:lang w:val="fr-FR"/>
              </w:rPr>
              <w:t xml:space="preserve"> modern technologies and </w:t>
            </w:r>
            <w:proofErr w:type="spellStart"/>
            <w:r w:rsidRPr="003307B0">
              <w:rPr>
                <w:bCs/>
                <w:lang w:val="fr-FR"/>
              </w:rPr>
              <w:t>tools</w:t>
            </w:r>
            <w:proofErr w:type="spellEnd"/>
            <w:r w:rsidRPr="003307B0">
              <w:rPr>
                <w:bCs/>
                <w:lang w:val="fr-FR"/>
              </w:rPr>
              <w:t>.</w:t>
            </w:r>
          </w:p>
          <w:p w14:paraId="1B75AC18" w14:textId="7415EA34" w:rsidR="003307B0" w:rsidRDefault="003307B0" w:rsidP="00DB7D3A">
            <w:pPr>
              <w:rPr>
                <w:bCs/>
              </w:rPr>
            </w:pPr>
          </w:p>
          <w:p w14:paraId="5A3E48BE" w14:textId="3E8FE49E" w:rsidR="00446081" w:rsidRDefault="00355A4A" w:rsidP="00355A4A">
            <w:pPr>
              <w:rPr>
                <w:bCs/>
              </w:rPr>
            </w:pPr>
            <w:r>
              <w:rPr>
                <w:bCs/>
              </w:rPr>
              <w:t xml:space="preserve">The </w:t>
            </w:r>
            <w:r w:rsidRPr="00355A4A">
              <w:rPr>
                <w:bCs/>
              </w:rPr>
              <w:t xml:space="preserve">draft amendments to </w:t>
            </w:r>
            <w:r>
              <w:rPr>
                <w:bCs/>
              </w:rPr>
              <w:t xml:space="preserve">the </w:t>
            </w:r>
            <w:r w:rsidRPr="00355A4A">
              <w:rPr>
                <w:bCs/>
              </w:rPr>
              <w:t>SOUNDREP and BELREP</w:t>
            </w:r>
            <w:r>
              <w:rPr>
                <w:bCs/>
              </w:rPr>
              <w:t xml:space="preserve"> </w:t>
            </w:r>
            <w:r w:rsidRPr="00355A4A">
              <w:rPr>
                <w:bCs/>
              </w:rPr>
              <w:t>ship reporting systems</w:t>
            </w:r>
            <w:r>
              <w:rPr>
                <w:bCs/>
              </w:rPr>
              <w:t xml:space="preserve"> can be found at annexes 3 and 4 respectively of the Addendum to the report of the </w:t>
            </w:r>
            <w:r w:rsidR="00BD70D6">
              <w:rPr>
                <w:bCs/>
              </w:rPr>
              <w:t>E</w:t>
            </w:r>
            <w:r>
              <w:rPr>
                <w:bCs/>
              </w:rPr>
              <w:t>xperts group in attached document NCSR 12/WP.4/Add.1.</w:t>
            </w:r>
          </w:p>
          <w:p w14:paraId="6801FFA8" w14:textId="77777777" w:rsidR="00355A4A" w:rsidRPr="00CB7B3C" w:rsidRDefault="00355A4A" w:rsidP="00355A4A">
            <w:pPr>
              <w:rPr>
                <w:bCs/>
              </w:rPr>
            </w:pPr>
          </w:p>
          <w:p w14:paraId="01AB7380" w14:textId="28D9FA2B" w:rsidR="006A2BFD" w:rsidRDefault="00EA45E9" w:rsidP="00DB7D3A">
            <w:pPr>
              <w:rPr>
                <w:bCs/>
              </w:rPr>
            </w:pPr>
            <w:r>
              <w:rPr>
                <w:b/>
              </w:rPr>
              <w:t>Electronic</w:t>
            </w:r>
            <w:r w:rsidR="00E500C9">
              <w:rPr>
                <w:b/>
              </w:rPr>
              <w:t xml:space="preserve"> nautical publications </w:t>
            </w:r>
            <w:r w:rsidR="006A2BFD">
              <w:rPr>
                <w:b/>
              </w:rPr>
              <w:t xml:space="preserve">– </w:t>
            </w:r>
            <w:r w:rsidR="00D772FA">
              <w:rPr>
                <w:bCs/>
              </w:rPr>
              <w:t xml:space="preserve">Due to the increasing use of electronic </w:t>
            </w:r>
            <w:r w:rsidR="00B001DF">
              <w:rPr>
                <w:bCs/>
              </w:rPr>
              <w:t xml:space="preserve">versions of the </w:t>
            </w:r>
            <w:r w:rsidR="00D772FA">
              <w:rPr>
                <w:bCs/>
              </w:rPr>
              <w:t xml:space="preserve">publications </w:t>
            </w:r>
            <w:r w:rsidR="00B001DF">
              <w:rPr>
                <w:bCs/>
              </w:rPr>
              <w:t xml:space="preserve">required by SOLAS V/19.2.1.4 and V/19.2.1.5 for voyage planning, display and monitoring, </w:t>
            </w:r>
            <w:r w:rsidR="00D772FA">
              <w:rPr>
                <w:bCs/>
              </w:rPr>
              <w:t xml:space="preserve">official guidelines are required to ensure </w:t>
            </w:r>
            <w:r w:rsidR="00B001DF">
              <w:rPr>
                <w:bCs/>
              </w:rPr>
              <w:t xml:space="preserve">consistent </w:t>
            </w:r>
            <w:r w:rsidR="00D772FA">
              <w:rPr>
                <w:bCs/>
              </w:rPr>
              <w:t>global standards.</w:t>
            </w:r>
            <w:r w:rsidR="00296BD2">
              <w:rPr>
                <w:bCs/>
              </w:rPr>
              <w:t xml:space="preserve"> </w:t>
            </w:r>
          </w:p>
          <w:p w14:paraId="532B3E5C" w14:textId="77777777" w:rsidR="009A4B86" w:rsidRDefault="009A4B86" w:rsidP="00DB7D3A">
            <w:pPr>
              <w:rPr>
                <w:bCs/>
              </w:rPr>
            </w:pPr>
          </w:p>
          <w:p w14:paraId="75F6921B" w14:textId="77777777" w:rsidR="009A4B86" w:rsidRPr="009A4B86" w:rsidRDefault="009A4B86" w:rsidP="009A4B86">
            <w:pPr>
              <w:rPr>
                <w:bCs/>
              </w:rPr>
            </w:pPr>
            <w:r w:rsidRPr="009A4B86">
              <w:rPr>
                <w:bCs/>
              </w:rPr>
              <w:t>The adoption of electronic nautical publications (ENPs) as an alternative to traditional printed nautical resources has significantly increased in recent years due to their distinct advantages. However, there remains no International Maritime Organization (IMO) instrument providing standardized instructions, despite some guidance from national hydrographic offices. Consequently, the development of specific IMO-level guidance is deemed necessary to ensure consistent and global implementation of relevant SOLAS regulations.</w:t>
            </w:r>
          </w:p>
          <w:p w14:paraId="0F4FFF29" w14:textId="77777777" w:rsidR="009A4B86" w:rsidRPr="009A4B86" w:rsidRDefault="009A4B86" w:rsidP="009A4B86">
            <w:pPr>
              <w:rPr>
                <w:bCs/>
              </w:rPr>
            </w:pPr>
          </w:p>
          <w:p w14:paraId="0AFC8A5C" w14:textId="6B0DDFED" w:rsidR="009A4B86" w:rsidRPr="009A4B86" w:rsidRDefault="009A4B86" w:rsidP="009A4B86">
            <w:pPr>
              <w:rPr>
                <w:bCs/>
              </w:rPr>
            </w:pPr>
            <w:r w:rsidRPr="009A4B86">
              <w:rPr>
                <w:bCs/>
              </w:rPr>
              <w:t xml:space="preserve">In response, the NCSR finalized a draft MSC circular </w:t>
            </w:r>
            <w:r>
              <w:rPr>
                <w:bCs/>
              </w:rPr>
              <w:t>on “</w:t>
            </w:r>
            <w:r w:rsidRPr="009A4B86">
              <w:rPr>
                <w:bCs/>
              </w:rPr>
              <w:t>Guidelines for the carriage and use of electronic nautical publications (ENP) systems on board</w:t>
            </w:r>
            <w:r>
              <w:rPr>
                <w:bCs/>
              </w:rPr>
              <w:t>”</w:t>
            </w:r>
            <w:r w:rsidRPr="009A4B86">
              <w:rPr>
                <w:bCs/>
              </w:rPr>
              <w:t>. These draft guidelines are designed for digital versions of existing paper-based publications utilized on ships, rather than ENPs integrated into Electronic Chart Display and Information Systems (ECDIS). Importantly, they do not override ECDIS performance standards.</w:t>
            </w:r>
          </w:p>
          <w:p w14:paraId="1554A352" w14:textId="77777777" w:rsidR="009A4B86" w:rsidRPr="009A4B86" w:rsidRDefault="009A4B86" w:rsidP="009A4B86">
            <w:pPr>
              <w:rPr>
                <w:bCs/>
              </w:rPr>
            </w:pPr>
          </w:p>
          <w:p w14:paraId="65508E42" w14:textId="3D397C03" w:rsidR="009A4B86" w:rsidRPr="00D772FA" w:rsidRDefault="009A4B86" w:rsidP="009A4B86">
            <w:pPr>
              <w:rPr>
                <w:bCs/>
              </w:rPr>
            </w:pPr>
            <w:r w:rsidRPr="009A4B86">
              <w:rPr>
                <w:bCs/>
              </w:rPr>
              <w:t>The guidelines emphasize key aspects such as hardware and software requirements, appropriate backup solutions, and reliable power supply, rather than specifying detailed performance standards. The draft guidelines are slated for submission for approval at MSC 111 in May 2026 and, once sanctioned, will take immediate effect.</w:t>
            </w:r>
            <w:r>
              <w:rPr>
                <w:bCs/>
              </w:rPr>
              <w:t xml:space="preserve"> The draft circular can be found at annex 10 of the attached report of working group 2 in document NCSR 12/WP.6.</w:t>
            </w:r>
          </w:p>
          <w:p w14:paraId="37F2EA95" w14:textId="77777777" w:rsidR="00577E28" w:rsidRDefault="00577E28" w:rsidP="00FE3F40">
            <w:pPr>
              <w:rPr>
                <w:bCs/>
              </w:rPr>
            </w:pPr>
          </w:p>
          <w:p w14:paraId="0676ABF3" w14:textId="244C35E2" w:rsidR="00557FDC" w:rsidRDefault="00DF2268" w:rsidP="00557FDC">
            <w:r w:rsidRPr="00DF2268">
              <w:rPr>
                <w:b/>
                <w:bCs/>
              </w:rPr>
              <w:t>Introduction of VHF Data Exchange System (VDES) - SOLAS amendments in development</w:t>
            </w:r>
            <w:r>
              <w:rPr>
                <w:b/>
                <w:bCs/>
              </w:rPr>
              <w:t xml:space="preserve"> – </w:t>
            </w:r>
            <w:r w:rsidR="00557FDC">
              <w:t xml:space="preserve">It may be recalled from the NCSR 11 report that </w:t>
            </w:r>
            <w:r w:rsidR="00645B23" w:rsidRPr="00645B23">
              <w:t>VDES is a radiocommunication system in the VHF maritime mobile band, capable of exchanging digital data faster than AIS (Automatic Identifying System) in the ship-to-ship, ship-to-shore and shore-to-ship directions, using both terrestrial and satellite components</w:t>
            </w:r>
            <w:r w:rsidR="00645B23">
              <w:t xml:space="preserve">. </w:t>
            </w:r>
            <w:r w:rsidR="00557FDC">
              <w:t>At the last session of NCSR it was agreed that implementation of VDES would be on a voluntary basis while further developments with the system take place.</w:t>
            </w:r>
          </w:p>
          <w:p w14:paraId="327EC9F5" w14:textId="77777777" w:rsidR="00557FDC" w:rsidRDefault="00557FDC" w:rsidP="00557FDC"/>
          <w:p w14:paraId="0B26B7AF" w14:textId="167FCAE6" w:rsidR="00557FDC" w:rsidRDefault="00557FDC" w:rsidP="00557FDC">
            <w:r>
              <w:t>Work on this agenda item progressed during this session and the Sub-Committee agreed to the following:</w:t>
            </w:r>
          </w:p>
          <w:p w14:paraId="36BC1E8A" w14:textId="0598D844" w:rsidR="00557FDC" w:rsidRDefault="00557FDC" w:rsidP="00557FDC"/>
          <w:p w14:paraId="2F746D6C" w14:textId="0E657E68" w:rsidR="00557FDC" w:rsidRDefault="00557FDC" w:rsidP="00557FDC">
            <w:pPr>
              <w:pStyle w:val="ListParagraph"/>
              <w:numPr>
                <w:ilvl w:val="0"/>
                <w:numId w:val="25"/>
              </w:numPr>
            </w:pPr>
            <w:r>
              <w:lastRenderedPageBreak/>
              <w:t>D</w:t>
            </w:r>
            <w:r w:rsidRPr="00557FDC">
              <w:t>raft amendments to SOLAS chapter V and the appendix to introduce the VHF Data Exchange System, as well as the consequential amendments to the 1994 and 2000 HSC Codes</w:t>
            </w:r>
            <w:r>
              <w:t>.</w:t>
            </w:r>
          </w:p>
          <w:p w14:paraId="6339FC0C" w14:textId="296A0EBB" w:rsidR="00557FDC" w:rsidRDefault="00557FDC" w:rsidP="00557FDC">
            <w:pPr>
              <w:pStyle w:val="ListParagraph"/>
              <w:numPr>
                <w:ilvl w:val="0"/>
                <w:numId w:val="25"/>
              </w:numPr>
            </w:pPr>
            <w:r>
              <w:t>D</w:t>
            </w:r>
            <w:r w:rsidRPr="00557FDC">
              <w:t>raft MSC resolution on Introduction of VHF data exchange system (VDES) into the IMO regulatory framework</w:t>
            </w:r>
            <w:r>
              <w:t>.</w:t>
            </w:r>
          </w:p>
          <w:p w14:paraId="4965A4E2" w14:textId="751AD374" w:rsidR="00557FDC" w:rsidRDefault="00557FDC" w:rsidP="00557FDC">
            <w:pPr>
              <w:pStyle w:val="ListParagraph"/>
              <w:numPr>
                <w:ilvl w:val="0"/>
                <w:numId w:val="25"/>
              </w:numPr>
            </w:pPr>
            <w:r>
              <w:t>D</w:t>
            </w:r>
            <w:r w:rsidRPr="00557FDC">
              <w:t>raft MSC resolution on Performance standards for shipborne VHF data exchange system (VDES)</w:t>
            </w:r>
            <w:r>
              <w:t>.</w:t>
            </w:r>
          </w:p>
          <w:p w14:paraId="25C8383C" w14:textId="101D7D6A" w:rsidR="00557FDC" w:rsidRDefault="00557FDC" w:rsidP="00557FDC">
            <w:pPr>
              <w:pStyle w:val="ListParagraph"/>
              <w:numPr>
                <w:ilvl w:val="0"/>
                <w:numId w:val="25"/>
              </w:numPr>
            </w:pPr>
            <w:r>
              <w:t>D</w:t>
            </w:r>
            <w:r w:rsidRPr="00557FDC">
              <w:t>raft MSC circular on Guidelines for the operational use of shipborne VHF data exchange system (VDES)</w:t>
            </w:r>
            <w:r>
              <w:t>.</w:t>
            </w:r>
          </w:p>
          <w:p w14:paraId="62EEF209" w14:textId="77777777" w:rsidR="00557FDC" w:rsidRDefault="00557FDC" w:rsidP="00557FDC"/>
          <w:p w14:paraId="47558C84" w14:textId="46195425" w:rsidR="00054C98" w:rsidRDefault="00557FDC" w:rsidP="00557FDC">
            <w:r>
              <w:t xml:space="preserve">The draft SOLAS amendments, </w:t>
            </w:r>
            <w:r w:rsidR="00AD4BD3">
              <w:t xml:space="preserve">draft 1994 HSC code amendments, draft 2000 HSC code amendments, </w:t>
            </w:r>
            <w:r>
              <w:t xml:space="preserve">draft MSC resolution on the introduction of VDES, draft MSC resolution on performance standards and draft MSC circular on guidelines for the operational use of VDES can be found at annexes 2,3,4,5,6 and 7 respectively of the report of </w:t>
            </w:r>
            <w:r w:rsidR="00054C98">
              <w:t xml:space="preserve">working group 2 in attached document NCSR 12/WP.6. </w:t>
            </w:r>
          </w:p>
          <w:p w14:paraId="1FD18062" w14:textId="77777777" w:rsidR="007A2C01" w:rsidRDefault="007A2C01" w:rsidP="00054C98"/>
          <w:p w14:paraId="5378D472" w14:textId="046B34B4" w:rsidR="00054C98" w:rsidRDefault="00054C98" w:rsidP="00054C98">
            <w:r w:rsidRPr="00054C98">
              <w:t>The draft instruments are expected to be submitted for approval at MSC 110 in June 2025 as an urgent matter and adopted at MSC 111 in May 2026, with an anticipated entry into force on 1 January 2028.</w:t>
            </w:r>
            <w:r>
              <w:t xml:space="preserve"> </w:t>
            </w:r>
            <w:r w:rsidRPr="00054C98">
              <w:t xml:space="preserve">It should be noted that VDES equipment will not be mandatory and that the SOLAS regulations require AIS </w:t>
            </w:r>
            <w:r w:rsidRPr="00054C98">
              <w:rPr>
                <w:b/>
                <w:bCs/>
                <w:i/>
                <w:iCs/>
              </w:rPr>
              <w:t>or</w:t>
            </w:r>
            <w:r w:rsidRPr="00054C98">
              <w:t xml:space="preserve"> VDES.</w:t>
            </w:r>
          </w:p>
          <w:p w14:paraId="6E2C7D71" w14:textId="77777777" w:rsidR="009A4B86" w:rsidRDefault="009A4B86" w:rsidP="00054C98"/>
          <w:p w14:paraId="27825152" w14:textId="60A97CA3" w:rsidR="00103180" w:rsidRDefault="009A4B86" w:rsidP="00054C98">
            <w:r w:rsidRPr="009A4B86">
              <w:rPr>
                <w:b/>
                <w:bCs/>
              </w:rPr>
              <w:t>Development of guidelines for software maintenance of shipboard navigation and communication equipment and systems</w:t>
            </w:r>
            <w:r>
              <w:rPr>
                <w:b/>
                <w:bCs/>
              </w:rPr>
              <w:t xml:space="preserve"> </w:t>
            </w:r>
            <w:r w:rsidR="00103180">
              <w:rPr>
                <w:b/>
                <w:bCs/>
              </w:rPr>
              <w:t>–</w:t>
            </w:r>
            <w:r>
              <w:rPr>
                <w:b/>
                <w:bCs/>
              </w:rPr>
              <w:t xml:space="preserve"> </w:t>
            </w:r>
            <w:r w:rsidR="00103180" w:rsidRPr="00103180">
              <w:t xml:space="preserve">The sub-committee agreed to the draft MSC circular on </w:t>
            </w:r>
            <w:r w:rsidR="00103180">
              <w:t>“G</w:t>
            </w:r>
            <w:r w:rsidR="00103180" w:rsidRPr="00103180">
              <w:t>uidelines for software maintenance of shipboard computer-based navigation and communication equipment and systems</w:t>
            </w:r>
            <w:r w:rsidR="00103180">
              <w:t xml:space="preserve">”. </w:t>
            </w:r>
          </w:p>
          <w:p w14:paraId="0C17F6DD" w14:textId="77777777" w:rsidR="00103180" w:rsidRDefault="00103180" w:rsidP="00054C98"/>
          <w:p w14:paraId="018129E0" w14:textId="77777777" w:rsidR="00103180" w:rsidRDefault="00103180" w:rsidP="00103180">
            <w:r>
              <w:t>With the increasing reliance on computer-based navigation and communication systems, maintaining software effectively has become essential for maritime safety and operational efficiency. To address industry challenges and emerging cyber threats, MSC 107 approved the development of non-mandatory guidelines, specifically targeting equipment governed by SOLAS chapters IV (Radiocommunications) and V (Safety of Navigation).</w:t>
            </w:r>
          </w:p>
          <w:p w14:paraId="53302188" w14:textId="77777777" w:rsidR="00103180" w:rsidRDefault="00103180" w:rsidP="00103180"/>
          <w:p w14:paraId="56301DD6" w14:textId="78835038" w:rsidR="00103180" w:rsidRDefault="00103180" w:rsidP="00103180">
            <w:r>
              <w:t>These draft guidelines build upon an initial industry standard, collaboratively developed by shipowners, service providers, classification societies, and equipment manufacturers. NCSR 12 subsequently reviewed this draft guidance, focusing on establishing standardized, secure, and transparent software maintenance practices. The guidelines are designed to enhance system reliability, minimize downtime, improve crew awareness, and bolster cybersecurity—all without increasing the frequency of maintenance tasks.</w:t>
            </w:r>
          </w:p>
          <w:p w14:paraId="66B099A9" w14:textId="77777777" w:rsidR="007A2C01" w:rsidRDefault="007A2C01" w:rsidP="007A2C01">
            <w:r>
              <w:t>The draft guidelines incorporate several essential elements, including:</w:t>
            </w:r>
          </w:p>
          <w:p w14:paraId="20667E92" w14:textId="77777777" w:rsidR="007A2C01" w:rsidRDefault="007A2C01" w:rsidP="007A2C01"/>
          <w:p w14:paraId="2003D1BF" w14:textId="25B6B326" w:rsidR="007A2C01" w:rsidRDefault="007A2C01" w:rsidP="007A2C01">
            <w:pPr>
              <w:pStyle w:val="ListParagraph"/>
              <w:numPr>
                <w:ilvl w:val="0"/>
                <w:numId w:val="26"/>
              </w:numPr>
            </w:pPr>
            <w:r>
              <w:t>Clearly defined roles and procedures for initiating, planning, and carrying out maintenance</w:t>
            </w:r>
          </w:p>
          <w:p w14:paraId="4D924EB3" w14:textId="6A9548A1" w:rsidR="007A2C01" w:rsidRDefault="007A2C01" w:rsidP="007A2C01">
            <w:pPr>
              <w:pStyle w:val="ListParagraph"/>
              <w:numPr>
                <w:ilvl w:val="0"/>
                <w:numId w:val="26"/>
              </w:numPr>
            </w:pPr>
            <w:r>
              <w:t>Comprehensive cybersecurity and safety protocols throughout the maintenance lifecycle</w:t>
            </w:r>
          </w:p>
          <w:p w14:paraId="00E1F95B" w14:textId="7C103EF2" w:rsidR="007A2C01" w:rsidRDefault="007A2C01" w:rsidP="007A2C01">
            <w:pPr>
              <w:pStyle w:val="ListParagraph"/>
              <w:numPr>
                <w:ilvl w:val="0"/>
                <w:numId w:val="26"/>
              </w:numPr>
            </w:pPr>
            <w:r>
              <w:t>Implementation of electronic service reports and onboard software logs</w:t>
            </w:r>
          </w:p>
          <w:p w14:paraId="7827C0BE" w14:textId="164BD0CA" w:rsidR="007A2C01" w:rsidRDefault="007A2C01" w:rsidP="007A2C01">
            <w:pPr>
              <w:pStyle w:val="ListParagraph"/>
              <w:numPr>
                <w:ilvl w:val="0"/>
                <w:numId w:val="26"/>
              </w:numPr>
            </w:pPr>
            <w:r>
              <w:t>Training and certification of service personnel by equipment manufacturers</w:t>
            </w:r>
          </w:p>
          <w:p w14:paraId="281A2B11" w14:textId="7595870F" w:rsidR="007A2C01" w:rsidRDefault="007A2C01" w:rsidP="007A2C01">
            <w:pPr>
              <w:pStyle w:val="ListParagraph"/>
              <w:numPr>
                <w:ilvl w:val="0"/>
                <w:numId w:val="26"/>
              </w:numPr>
            </w:pPr>
            <w:r>
              <w:t>Specific guidance for conducting remote maintenance</w:t>
            </w:r>
          </w:p>
          <w:p w14:paraId="0EF2FBBA" w14:textId="77777777" w:rsidR="007A2C01" w:rsidRDefault="007A2C01" w:rsidP="007A2C01"/>
          <w:p w14:paraId="4FA77EB2" w14:textId="343183AD" w:rsidR="007A2C01" w:rsidRDefault="007A2C01" w:rsidP="007A2C01">
            <w:r>
              <w:t>The draft guidelines are expected to be submitted for approval at MSC 111 in May 2026 and will take effect immediately upon approval. They can be found at annex 6 of the attached report of working group 1 in document NCSR 12/WP.5.</w:t>
            </w:r>
          </w:p>
          <w:p w14:paraId="675129B4" w14:textId="77777777" w:rsidR="00B21D0E" w:rsidRDefault="00B21D0E" w:rsidP="007A2C01"/>
          <w:p w14:paraId="0419B2E2" w14:textId="49AD2BA5" w:rsidR="00B21D0E" w:rsidRDefault="00B21D0E" w:rsidP="007A2C01">
            <w:r>
              <w:rPr>
                <w:b/>
                <w:bCs/>
              </w:rPr>
              <w:t xml:space="preserve">Amendments to the IAMSAR Manual – </w:t>
            </w:r>
            <w:r>
              <w:t>The current edition of the IAMSAR manual was published on 1 June 2022 and the next edition is due to be published in June this year. This is a mandatory publication and vessels are required to carry the most up to date edition.</w:t>
            </w:r>
          </w:p>
          <w:p w14:paraId="543EBE79" w14:textId="77777777" w:rsidR="00B21D0E" w:rsidRDefault="00B21D0E" w:rsidP="007A2C01"/>
          <w:p w14:paraId="47436BC6" w14:textId="6F339BA1" w:rsidR="00B21D0E" w:rsidRDefault="00B21D0E" w:rsidP="007A2C01">
            <w:r>
              <w:t>Work has begun on the 2028 edition and the following items are under consideration for inclusion:</w:t>
            </w:r>
          </w:p>
          <w:p w14:paraId="4BE23FF6" w14:textId="658EF145" w:rsidR="00147A9B" w:rsidRDefault="00147A9B" w:rsidP="00147A9B">
            <w:pPr>
              <w:pStyle w:val="ListParagraph"/>
              <w:numPr>
                <w:ilvl w:val="0"/>
                <w:numId w:val="27"/>
              </w:numPr>
            </w:pPr>
            <w:r>
              <w:t>Psychology of emergency, including the possibility of developing a draft circular on the subject.</w:t>
            </w:r>
          </w:p>
          <w:p w14:paraId="41BCA6F2" w14:textId="7B9D8CE3" w:rsidR="00147A9B" w:rsidRDefault="00147A9B" w:rsidP="00147A9B">
            <w:pPr>
              <w:pStyle w:val="ListParagraph"/>
              <w:numPr>
                <w:ilvl w:val="0"/>
                <w:numId w:val="27"/>
              </w:numPr>
            </w:pPr>
            <w:r>
              <w:t>Optimizing homing operations for 406 MHz distress beacon and automatic identification system (AIS) signals (NCSR 12/7, paragraph 2.7).</w:t>
            </w:r>
          </w:p>
          <w:p w14:paraId="1217F3D4" w14:textId="56AE3B4C" w:rsidR="00147A9B" w:rsidRDefault="00147A9B" w:rsidP="00147A9B">
            <w:pPr>
              <w:pStyle w:val="ListParagraph"/>
              <w:numPr>
                <w:ilvl w:val="0"/>
                <w:numId w:val="27"/>
              </w:numPr>
            </w:pPr>
            <w:r>
              <w:t>Guidance on submarines and passenger submersible craft and related SAR issues.</w:t>
            </w:r>
          </w:p>
          <w:p w14:paraId="776DC714" w14:textId="77777777" w:rsidR="000F47D9" w:rsidRDefault="000F47D9" w:rsidP="000F47D9"/>
          <w:p w14:paraId="2654750C" w14:textId="6B35C283" w:rsidR="000F47D9" w:rsidRDefault="000F47D9" w:rsidP="000F47D9">
            <w:r w:rsidRPr="000F47D9">
              <w:rPr>
                <w:b/>
                <w:bCs/>
              </w:rPr>
              <w:t>Revision of the Performance Standards for Shipborne BeiDou Satellite Navigation System (BDS) Receiver Equipment</w:t>
            </w:r>
            <w:r>
              <w:rPr>
                <w:b/>
                <w:bCs/>
              </w:rPr>
              <w:t xml:space="preserve"> – </w:t>
            </w:r>
            <w:r>
              <w:t xml:space="preserve">The Chinese global navigation satellite system, BeiDou was fully commissioned in 2022. Since then, the system has been enhanced to include additional services such as improved positioning accuracy, dual-frequency capabilities and global positioning, navigation and timing services (PNT) and messaging functions. </w:t>
            </w:r>
          </w:p>
          <w:p w14:paraId="5234837D" w14:textId="77777777" w:rsidR="001144F1" w:rsidRDefault="001144F1" w:rsidP="000F47D9"/>
          <w:p w14:paraId="359922A7" w14:textId="62A339F2" w:rsidR="001144F1" w:rsidRDefault="001144F1" w:rsidP="000F47D9">
            <w:r>
              <w:t xml:space="preserve">As a result of these improvements, the drafting group was tasked with revising resolution MSC.379(93) </w:t>
            </w:r>
            <w:r w:rsidRPr="001144F1">
              <w:t xml:space="preserve">on </w:t>
            </w:r>
            <w:r>
              <w:t>“</w:t>
            </w:r>
            <w:r w:rsidRPr="001144F1">
              <w:t>Performance standards for shipborne BeiDou Satellite Navigation System (BDS) receiver equipment</w:t>
            </w:r>
            <w:r>
              <w:t>”. The Sub-Committee approved the draft performance standards which can be found at the annex to the report of the drafting group in attached document NCSR 12/WP.8.</w:t>
            </w:r>
          </w:p>
          <w:p w14:paraId="5ECCF5C6" w14:textId="77777777" w:rsidR="001144F1" w:rsidRDefault="001144F1" w:rsidP="000F47D9"/>
          <w:p w14:paraId="412CA488" w14:textId="0894A48F" w:rsidR="001144F1" w:rsidRDefault="001144F1" w:rsidP="000F47D9">
            <w:r w:rsidRPr="001144F1">
              <w:t>The draft revision is scheduled for submission to MSC 111 in May 2026 for approval and is expected to apply to BDS receiver equipment installed on or after 31 July 2028.</w:t>
            </w:r>
          </w:p>
          <w:p w14:paraId="6192BAFD" w14:textId="77777777" w:rsidR="001144F1" w:rsidRPr="000F47D9" w:rsidRDefault="001144F1" w:rsidP="000F47D9"/>
          <w:p w14:paraId="3B336FF1" w14:textId="5765A389" w:rsidR="00412197" w:rsidRDefault="00412197" w:rsidP="00412197">
            <w:r>
              <w:rPr>
                <w:b/>
              </w:rPr>
              <w:t xml:space="preserve">Draft report: </w:t>
            </w:r>
            <w:r>
              <w:t xml:space="preserve">The draft report of the Sub-Committee is contained in attached document NCSR </w:t>
            </w:r>
            <w:r w:rsidR="00577E28">
              <w:t>1</w:t>
            </w:r>
            <w:r w:rsidR="00147A9B">
              <w:t>2</w:t>
            </w:r>
            <w:r w:rsidR="00577E28">
              <w:t>/WP.1</w:t>
            </w:r>
          </w:p>
          <w:tbl>
            <w:tblPr>
              <w:tblW w:w="0" w:type="auto"/>
              <w:tblLook w:val="0000" w:firstRow="0" w:lastRow="0" w:firstColumn="0" w:lastColumn="0" w:noHBand="0" w:noVBand="0"/>
            </w:tblPr>
            <w:tblGrid>
              <w:gridCol w:w="9116"/>
            </w:tblGrid>
            <w:tr w:rsidR="00412197" w14:paraId="7738130F" w14:textId="77777777" w:rsidTr="00666DBA">
              <w:tc>
                <w:tcPr>
                  <w:tcW w:w="9332" w:type="dxa"/>
                </w:tcPr>
                <w:p w14:paraId="5BAD5708" w14:textId="77777777" w:rsidR="00412197" w:rsidRDefault="00412197" w:rsidP="00412197">
                  <w:pPr>
                    <w:rPr>
                      <w:u w:val="single"/>
                    </w:rPr>
                  </w:pPr>
                </w:p>
                <w:p w14:paraId="0C4C19F5" w14:textId="657C583C" w:rsidR="00412197" w:rsidRPr="00E25DFD" w:rsidRDefault="00412197" w:rsidP="00412197">
                  <w:pPr>
                    <w:rPr>
                      <w:u w:val="single"/>
                    </w:rPr>
                  </w:pPr>
                  <w:r>
                    <w:rPr>
                      <w:u w:val="single"/>
                    </w:rPr>
                    <w:t>P</w:t>
                  </w:r>
                  <w:r w:rsidRPr="00E25DFD">
                    <w:rPr>
                      <w:u w:val="single"/>
                    </w:rPr>
                    <w:t>RINCIPAL ISSUES:</w:t>
                  </w:r>
                </w:p>
                <w:p w14:paraId="5E8C8A58" w14:textId="77777777" w:rsidR="00412197" w:rsidRDefault="00412197" w:rsidP="00412197"/>
                <w:p w14:paraId="50A4309A" w14:textId="77777777" w:rsidR="00412197" w:rsidRDefault="00412197" w:rsidP="00412197">
                  <w:r>
                    <w:t>The meeting agenda was as follows:</w:t>
                  </w:r>
                </w:p>
                <w:p w14:paraId="45E96D98" w14:textId="77777777" w:rsidR="00412197" w:rsidRDefault="00412197" w:rsidP="00412197"/>
                <w:p w14:paraId="271E3E68" w14:textId="77777777" w:rsidR="00412197" w:rsidRDefault="00412197" w:rsidP="00051D2F">
                  <w:pPr>
                    <w:pStyle w:val="ListParagraph"/>
                    <w:numPr>
                      <w:ilvl w:val="0"/>
                      <w:numId w:val="2"/>
                    </w:numPr>
                  </w:pPr>
                  <w:r>
                    <w:t>Adoption of the agenda</w:t>
                  </w:r>
                </w:p>
                <w:p w14:paraId="4E4CDB9F" w14:textId="77777777" w:rsidR="00412197" w:rsidRDefault="00412197" w:rsidP="00051D2F">
                  <w:pPr>
                    <w:pStyle w:val="ListParagraph"/>
                    <w:numPr>
                      <w:ilvl w:val="0"/>
                      <w:numId w:val="2"/>
                    </w:numPr>
                  </w:pPr>
                  <w:r>
                    <w:t>Decisions of other IMO bodies</w:t>
                  </w:r>
                </w:p>
                <w:p w14:paraId="7592334F" w14:textId="77777777" w:rsidR="00412197" w:rsidRDefault="00412197" w:rsidP="00051D2F">
                  <w:pPr>
                    <w:pStyle w:val="ListParagraph"/>
                    <w:numPr>
                      <w:ilvl w:val="0"/>
                      <w:numId w:val="2"/>
                    </w:numPr>
                  </w:pPr>
                  <w:r>
                    <w:t>Routeing measures and mandatory ship reporting systems</w:t>
                  </w:r>
                </w:p>
                <w:p w14:paraId="04C741A8" w14:textId="337FB57A" w:rsidR="00412197" w:rsidRDefault="00FF37FF" w:rsidP="00051D2F">
                  <w:pPr>
                    <w:pStyle w:val="ListParagraph"/>
                    <w:numPr>
                      <w:ilvl w:val="0"/>
                      <w:numId w:val="2"/>
                    </w:numPr>
                  </w:pPr>
                  <w:r>
                    <w:t>Update to the LRIT system</w:t>
                  </w:r>
                </w:p>
                <w:p w14:paraId="6E4C3F1B" w14:textId="470B1BDB" w:rsidR="00771CAA" w:rsidRDefault="00771CAA" w:rsidP="007E19C9">
                  <w:pPr>
                    <w:pStyle w:val="ListParagraph"/>
                    <w:numPr>
                      <w:ilvl w:val="0"/>
                      <w:numId w:val="2"/>
                    </w:numPr>
                  </w:pPr>
                  <w:r w:rsidRPr="00771CAA">
                    <w:t>Developments in GMDSS satellite services, including guidelines on Maritime Safety Information (MSI)</w:t>
                  </w:r>
                </w:p>
                <w:p w14:paraId="03F01AB7" w14:textId="77777777" w:rsidR="00771CAA" w:rsidRDefault="00771CAA" w:rsidP="00771CAA">
                  <w:pPr>
                    <w:pStyle w:val="ListParagraph"/>
                    <w:numPr>
                      <w:ilvl w:val="0"/>
                      <w:numId w:val="2"/>
                    </w:numPr>
                  </w:pPr>
                  <w:r>
                    <w:t>Response to matters related to the ITU-R Study Groups and ITU World Radiocommunication Conference</w:t>
                  </w:r>
                </w:p>
                <w:p w14:paraId="1C5EA253" w14:textId="28319F0E" w:rsidR="00771CAA" w:rsidRDefault="00771CAA" w:rsidP="00051D2F">
                  <w:pPr>
                    <w:pStyle w:val="ListParagraph"/>
                    <w:numPr>
                      <w:ilvl w:val="0"/>
                      <w:numId w:val="2"/>
                    </w:numPr>
                  </w:pPr>
                  <w:r w:rsidRPr="00771CAA">
                    <w:t>Development of global maritime SAR services, including harmonization of maritime and aeronautical procedures and amendments to the IAMSAR Manual</w:t>
                  </w:r>
                </w:p>
                <w:p w14:paraId="217F6EC8" w14:textId="29FDE07F" w:rsidR="006D6F58" w:rsidRDefault="006D6F58" w:rsidP="00771CAA">
                  <w:pPr>
                    <w:pStyle w:val="ListParagraph"/>
                    <w:numPr>
                      <w:ilvl w:val="0"/>
                      <w:numId w:val="2"/>
                    </w:numPr>
                  </w:pPr>
                  <w:r w:rsidRPr="006D6F58">
                    <w:t>Development of procedures and requirements for the recognition of augmentation systems in the Worldwide Radionavigation System (WWRNS)</w:t>
                  </w:r>
                </w:p>
                <w:p w14:paraId="2EC31CEE" w14:textId="77777777" w:rsidR="00771CAA" w:rsidRPr="00771CAA" w:rsidRDefault="00771CAA" w:rsidP="00771CAA">
                  <w:pPr>
                    <w:pStyle w:val="ListParagraph"/>
                    <w:numPr>
                      <w:ilvl w:val="0"/>
                      <w:numId w:val="2"/>
                    </w:numPr>
                  </w:pPr>
                  <w:r w:rsidRPr="00771CAA">
                    <w:t>Development of amendments to SOLAS chapters IV and V and performance standards and guidelines to introduce VHF data exchange system (VDES)</w:t>
                  </w:r>
                </w:p>
                <w:p w14:paraId="56F37696" w14:textId="56B4BC78" w:rsidR="006D6F58" w:rsidRDefault="006D6F58" w:rsidP="00051D2F">
                  <w:pPr>
                    <w:pStyle w:val="ListParagraph"/>
                    <w:numPr>
                      <w:ilvl w:val="0"/>
                      <w:numId w:val="2"/>
                    </w:numPr>
                  </w:pPr>
                  <w:r w:rsidRPr="006D6F58">
                    <w:t xml:space="preserve">Development of guidelines for software maintenance of shipboard navigation and </w:t>
                  </w:r>
                  <w:r w:rsidRPr="006D6F58">
                    <w:lastRenderedPageBreak/>
                    <w:t>communication equipment and systems</w:t>
                  </w:r>
                </w:p>
                <w:p w14:paraId="276CD3B3" w14:textId="4C3C52F5" w:rsidR="006D6F58" w:rsidRDefault="006D6F58" w:rsidP="00051D2F">
                  <w:pPr>
                    <w:pStyle w:val="ListParagraph"/>
                    <w:numPr>
                      <w:ilvl w:val="0"/>
                      <w:numId w:val="2"/>
                    </w:numPr>
                  </w:pPr>
                  <w:r w:rsidRPr="006D6F58">
                    <w:t>Development of guidelines for EPIRB which implement the two-way communication service via the SAR/Galileo Return Link service as a complement to EPIRB performance standards (resolution MSC.471(101))</w:t>
                  </w:r>
                </w:p>
                <w:p w14:paraId="5A5E40F6" w14:textId="29386055" w:rsidR="00771CAA" w:rsidRDefault="00771CAA" w:rsidP="00051D2F">
                  <w:pPr>
                    <w:pStyle w:val="ListParagraph"/>
                    <w:numPr>
                      <w:ilvl w:val="0"/>
                      <w:numId w:val="2"/>
                    </w:numPr>
                  </w:pPr>
                  <w:r w:rsidRPr="00771CAA">
                    <w:t>Development of guidelines for the use of electronic nautical publications (ENP</w:t>
                  </w:r>
                </w:p>
                <w:p w14:paraId="376E1B80" w14:textId="6E6DC7C3" w:rsidR="006D6F58" w:rsidRDefault="006D6F58" w:rsidP="00212F95">
                  <w:pPr>
                    <w:pStyle w:val="ListParagraph"/>
                    <w:numPr>
                      <w:ilvl w:val="0"/>
                      <w:numId w:val="2"/>
                    </w:numPr>
                  </w:pPr>
                  <w:r w:rsidRPr="006D6F58">
                    <w:t>Revision of the Performance standards for shipborne BeiDou Satellite Navigation System (BDS) receiver equipment (resolution MSC.379(93))</w:t>
                  </w:r>
                </w:p>
                <w:p w14:paraId="027CE502" w14:textId="13A67E36" w:rsidR="006D6F58" w:rsidRDefault="006D6F58" w:rsidP="00212F95">
                  <w:pPr>
                    <w:pStyle w:val="ListParagraph"/>
                    <w:numPr>
                      <w:ilvl w:val="0"/>
                      <w:numId w:val="2"/>
                    </w:numPr>
                  </w:pPr>
                  <w:r w:rsidRPr="006D6F58">
                    <w:t>Development of guidance to establish a framework for data distribution and global IP-based connectivity between shore-based facilities and ships for ECDIS S-100 products</w:t>
                  </w:r>
                </w:p>
                <w:p w14:paraId="4D140FE4" w14:textId="1B05DFB1" w:rsidR="00212F95" w:rsidRDefault="006D6F58" w:rsidP="00051D2F">
                  <w:pPr>
                    <w:pStyle w:val="ListParagraph"/>
                    <w:numPr>
                      <w:ilvl w:val="0"/>
                      <w:numId w:val="2"/>
                    </w:numPr>
                  </w:pPr>
                  <w:r w:rsidRPr="006D6F58">
                    <w:t>Validated model training courses</w:t>
                  </w:r>
                </w:p>
                <w:p w14:paraId="1BD09BAB" w14:textId="77777777" w:rsidR="00212F95" w:rsidRDefault="00212F95" w:rsidP="00212F95">
                  <w:pPr>
                    <w:pStyle w:val="ListParagraph"/>
                    <w:numPr>
                      <w:ilvl w:val="0"/>
                      <w:numId w:val="2"/>
                    </w:numPr>
                  </w:pPr>
                  <w:r>
                    <w:t>Unified interpretation of provisions of IMO safety, security, environment, facilitation, liability and compensation-related conventions</w:t>
                  </w:r>
                </w:p>
                <w:p w14:paraId="11B7E7D2" w14:textId="39B7C91C" w:rsidR="00412197" w:rsidRDefault="00412197" w:rsidP="00051D2F">
                  <w:pPr>
                    <w:pStyle w:val="ListParagraph"/>
                    <w:numPr>
                      <w:ilvl w:val="0"/>
                      <w:numId w:val="2"/>
                    </w:numPr>
                  </w:pPr>
                  <w:r>
                    <w:t xml:space="preserve">Biennial status report and provisional agenda for NCSR </w:t>
                  </w:r>
                  <w:r w:rsidR="00C4377B">
                    <w:t>1</w:t>
                  </w:r>
                  <w:r w:rsidR="006D6F58">
                    <w:t>3</w:t>
                  </w:r>
                </w:p>
                <w:p w14:paraId="57452FF1" w14:textId="716A7E3B" w:rsidR="00412197" w:rsidRDefault="00412197" w:rsidP="00051D2F">
                  <w:pPr>
                    <w:pStyle w:val="ListParagraph"/>
                    <w:numPr>
                      <w:ilvl w:val="0"/>
                      <w:numId w:val="2"/>
                    </w:numPr>
                  </w:pPr>
                  <w:r>
                    <w:t>Election of Chair and Vice-Chair for 202</w:t>
                  </w:r>
                  <w:r w:rsidR="006D6F58">
                    <w:t>6</w:t>
                  </w:r>
                </w:p>
                <w:p w14:paraId="144D036D" w14:textId="77777777" w:rsidR="00412197" w:rsidRDefault="00412197" w:rsidP="00051D2F">
                  <w:pPr>
                    <w:pStyle w:val="ListParagraph"/>
                    <w:numPr>
                      <w:ilvl w:val="0"/>
                      <w:numId w:val="2"/>
                    </w:numPr>
                  </w:pPr>
                  <w:r>
                    <w:t>Any other business</w:t>
                  </w:r>
                </w:p>
                <w:p w14:paraId="69891C06" w14:textId="77777777" w:rsidR="00412197" w:rsidRDefault="00412197" w:rsidP="00051D2F">
                  <w:pPr>
                    <w:pStyle w:val="ListParagraph"/>
                    <w:numPr>
                      <w:ilvl w:val="0"/>
                      <w:numId w:val="2"/>
                    </w:numPr>
                  </w:pPr>
                  <w:r>
                    <w:t>Report to the Maritime Safety Committee</w:t>
                  </w:r>
                </w:p>
                <w:p w14:paraId="4C05118F" w14:textId="77777777" w:rsidR="00412197" w:rsidRDefault="00412197" w:rsidP="00412197">
                  <w:pPr>
                    <w:pStyle w:val="ListParagraph"/>
                  </w:pPr>
                </w:p>
                <w:p w14:paraId="797F6CB1" w14:textId="05028B46" w:rsidR="00412197" w:rsidRDefault="00111A7E" w:rsidP="00412197">
                  <w:r>
                    <w:t>Three</w:t>
                  </w:r>
                  <w:r w:rsidR="00412197">
                    <w:t xml:space="preserve"> working group</w:t>
                  </w:r>
                  <w:r>
                    <w:t>s</w:t>
                  </w:r>
                  <w:r w:rsidR="006D6F58">
                    <w:t xml:space="preserve">, </w:t>
                  </w:r>
                  <w:r>
                    <w:t>one experts group</w:t>
                  </w:r>
                  <w:r w:rsidR="006D6F58">
                    <w:t xml:space="preserve"> and one drafting group</w:t>
                  </w:r>
                  <w:r>
                    <w:t xml:space="preserve"> </w:t>
                  </w:r>
                  <w:r w:rsidR="00412197">
                    <w:t>w</w:t>
                  </w:r>
                  <w:r>
                    <w:t>ere</w:t>
                  </w:r>
                  <w:r w:rsidR="00412197">
                    <w:t xml:space="preserve"> established as follows:</w:t>
                  </w:r>
                </w:p>
                <w:p w14:paraId="6E3BB065" w14:textId="77777777" w:rsidR="00111A7E" w:rsidRDefault="00111A7E" w:rsidP="00111A7E"/>
                <w:p w14:paraId="6321B56F" w14:textId="5A866FBB" w:rsidR="00412197" w:rsidRDefault="00412197" w:rsidP="00051D2F">
                  <w:pPr>
                    <w:pStyle w:val="ListParagraph"/>
                    <w:numPr>
                      <w:ilvl w:val="0"/>
                      <w:numId w:val="6"/>
                    </w:numPr>
                  </w:pPr>
                  <w:r>
                    <w:t>Working Group</w:t>
                  </w:r>
                  <w:r w:rsidR="00043C82">
                    <w:t xml:space="preserve"> 1</w:t>
                  </w:r>
                  <w:r>
                    <w:t>. The terms of reference of this group were:</w:t>
                  </w:r>
                </w:p>
                <w:p w14:paraId="1F3A3D64" w14:textId="41341EC2" w:rsidR="00412197" w:rsidRDefault="00412197" w:rsidP="00412197"/>
                <w:p w14:paraId="1851E58B" w14:textId="40C465D3" w:rsidR="00412197" w:rsidRDefault="00412197" w:rsidP="00AF4AD3">
                  <w:r w:rsidRPr="00834342">
                    <w:t xml:space="preserve">     </w:t>
                  </w:r>
                  <w:r>
                    <w:t xml:space="preserve">Agenda item </w:t>
                  </w:r>
                  <w:r w:rsidR="00043C82">
                    <w:t>6</w:t>
                  </w:r>
                  <w:r w:rsidR="0032143A">
                    <w:t xml:space="preserve"> </w:t>
                  </w:r>
                  <w:r w:rsidR="0032143A" w:rsidRPr="00043C82">
                    <w:t xml:space="preserve">– </w:t>
                  </w:r>
                  <w:r w:rsidR="00043C82" w:rsidRPr="00043C82">
                    <w:t>Response to matters related to the ITU-R Study Groups and ITU World Radiocommunication Conference</w:t>
                  </w:r>
                </w:p>
                <w:p w14:paraId="1412DA67" w14:textId="77777777" w:rsidR="0032143A" w:rsidRDefault="0032143A" w:rsidP="0032143A"/>
                <w:p w14:paraId="18DFD286" w14:textId="19118D4B" w:rsidR="00412197" w:rsidRDefault="00043C82" w:rsidP="00412197">
                  <w:pPr>
                    <w:pStyle w:val="ListParagraph"/>
                    <w:numPr>
                      <w:ilvl w:val="0"/>
                      <w:numId w:val="1"/>
                    </w:numPr>
                    <w:spacing w:after="200" w:line="276" w:lineRule="auto"/>
                  </w:pPr>
                  <w:r w:rsidRPr="00043C82">
                    <w:t>Finalize the draft IMO position on relevant WRC-27 agenda items concerning matters relating to maritime services (NCSR 12/6, annex, annex 1), taking into account document NCSR 12/6/5</w:t>
                  </w:r>
                  <w:r>
                    <w:t>.</w:t>
                  </w:r>
                </w:p>
                <w:p w14:paraId="1AE1145A" w14:textId="69C9FF25" w:rsidR="00043C82" w:rsidRPr="00043C82" w:rsidRDefault="00043C82" w:rsidP="00043C82">
                  <w:pPr>
                    <w:pStyle w:val="ListParagraph"/>
                    <w:numPr>
                      <w:ilvl w:val="0"/>
                      <w:numId w:val="1"/>
                    </w:numPr>
                    <w:spacing w:after="200" w:line="276" w:lineRule="auto"/>
                  </w:pPr>
                  <w:r>
                    <w:t>F</w:t>
                  </w:r>
                  <w:r w:rsidRPr="00043C82">
                    <w:t>inalize the draft reply liaison statement to ITU-R Working Party (WP) 4C on WRC-27 agenda item 1.12 (NCSR 12/6, annex, annex 2), taking into account document NCSR 12/6/4</w:t>
                  </w:r>
                  <w:r>
                    <w:t>.</w:t>
                  </w:r>
                </w:p>
                <w:p w14:paraId="47D67A51" w14:textId="0B8C2918" w:rsidR="00043C82" w:rsidRPr="00043C82" w:rsidRDefault="00043C82" w:rsidP="00043C82">
                  <w:pPr>
                    <w:pStyle w:val="ListParagraph"/>
                    <w:numPr>
                      <w:ilvl w:val="0"/>
                      <w:numId w:val="1"/>
                    </w:numPr>
                    <w:spacing w:after="200" w:line="276" w:lineRule="auto"/>
                  </w:pPr>
                  <w:r>
                    <w:t>F</w:t>
                  </w:r>
                  <w:r w:rsidRPr="00043C82">
                    <w:t>inalize the draft reply liaison statement to ITU-R WP 5B on revision of Recommendation ITU-R M.1371-5 (NCSR 12/6, annex, annex 3), taking into account the relevant outcomes of the WP 5B meeting conducted from 29 April to 8 May 2025</w:t>
                  </w:r>
                  <w:r>
                    <w:t>.</w:t>
                  </w:r>
                </w:p>
                <w:p w14:paraId="0A1F430E" w14:textId="1CEF5E58" w:rsidR="00043C82" w:rsidRPr="00043C82" w:rsidRDefault="00043C82" w:rsidP="00043C82">
                  <w:pPr>
                    <w:pStyle w:val="ListParagraph"/>
                    <w:numPr>
                      <w:ilvl w:val="0"/>
                      <w:numId w:val="1"/>
                    </w:numPr>
                    <w:spacing w:after="200" w:line="276" w:lineRule="auto"/>
                  </w:pPr>
                  <w:r>
                    <w:t>C</w:t>
                  </w:r>
                  <w:r w:rsidRPr="00043C82">
                    <w:t>onsider the draft liaison statement to ITU-R WP 5B on blockage of the AIS signal reception by the operation of VHF radiotelephony nearby (NCSR 12/6, annex, annex 4), taking into account document NCSR 12/6/6 and the relevant outcomes of the WP 5B meeting conducted from 29 April to 8 May 2025, and advise the Sub-Committee, as appropriate</w:t>
                  </w:r>
                  <w:r>
                    <w:t>.</w:t>
                  </w:r>
                </w:p>
                <w:p w14:paraId="6C5C2A74" w14:textId="13429783" w:rsidR="00043C82" w:rsidRDefault="00043C82" w:rsidP="00043C82">
                  <w:pPr>
                    <w:pStyle w:val="ListParagraph"/>
                    <w:numPr>
                      <w:ilvl w:val="0"/>
                      <w:numId w:val="1"/>
                    </w:numPr>
                    <w:spacing w:after="200" w:line="276" w:lineRule="auto"/>
                  </w:pPr>
                  <w:r>
                    <w:t>P</w:t>
                  </w:r>
                  <w:r w:rsidRPr="00043C82">
                    <w:t xml:space="preserve">repare a revision of MSC.1/Circ.1657 on </w:t>
                  </w:r>
                  <w:r w:rsidRPr="00043C82">
                    <w:rPr>
                      <w:i/>
                      <w:iCs/>
                    </w:rPr>
                    <w:t xml:space="preserve">Procedure for responding to DSC distress alerts by ships, </w:t>
                  </w:r>
                  <w:r w:rsidRPr="00043C82">
                    <w:t>taking into account the proposed modifications identified by the Experts Group (NCSR 12/6, annex, annex 10) as a result of discrepancies with Recommendation ITU-R M.541-11, and advise the Sub-Committee on any consequential amendments to other instruments</w:t>
                  </w:r>
                  <w:r>
                    <w:t>.</w:t>
                  </w:r>
                </w:p>
                <w:p w14:paraId="5838C5EB" w14:textId="4E9C8FB4" w:rsidR="00043C82" w:rsidRDefault="00043C82" w:rsidP="00043C82">
                  <w:pPr>
                    <w:pStyle w:val="ListParagraph"/>
                    <w:numPr>
                      <w:ilvl w:val="0"/>
                      <w:numId w:val="1"/>
                    </w:numPr>
                    <w:spacing w:after="200" w:line="276" w:lineRule="auto"/>
                  </w:pPr>
                  <w:r>
                    <w:t>P</w:t>
                  </w:r>
                  <w:r w:rsidRPr="00043C82">
                    <w:t>repare draft terms of reference for the twenty-first meeting of the IMO/ITU Experts Group, provisionally scheduled to take place during the week of 6 to 10 October 2025, taking into account the instructions of MSC 109 (MSC 109/22, paragraphs 19.8 and 19.26) and the relevant provisions of the Committees' method of work (MSC-</w:t>
                  </w:r>
                  <w:r w:rsidRPr="00043C82">
                    <w:lastRenderedPageBreak/>
                    <w:t>MEPC.1/Circ.5/Rev.6), and advise the Sub-Committee on the number of days required for the meeting</w:t>
                  </w:r>
                  <w:r>
                    <w:t>.</w:t>
                  </w:r>
                </w:p>
                <w:p w14:paraId="5D9C2E07" w14:textId="77777777" w:rsidR="00412197" w:rsidRDefault="00412197" w:rsidP="00412197">
                  <w:pPr>
                    <w:pStyle w:val="ListParagraph"/>
                    <w:spacing w:after="200" w:line="276" w:lineRule="auto"/>
                    <w:ind w:left="360"/>
                  </w:pPr>
                </w:p>
                <w:p w14:paraId="36336B7D" w14:textId="4407DFA0" w:rsidR="0032143A" w:rsidRDefault="0032143A" w:rsidP="00412197">
                  <w:pPr>
                    <w:pStyle w:val="ListParagraph"/>
                    <w:spacing w:after="200" w:line="276" w:lineRule="auto"/>
                    <w:ind w:left="360"/>
                  </w:pPr>
                  <w:r w:rsidRPr="0032143A">
                    <w:t xml:space="preserve">Agenda item </w:t>
                  </w:r>
                  <w:r w:rsidR="00043C82">
                    <w:t>10</w:t>
                  </w:r>
                  <w:r w:rsidRPr="0032143A">
                    <w:t xml:space="preserve"> – </w:t>
                  </w:r>
                  <w:r w:rsidR="00043C82" w:rsidRPr="00043C82">
                    <w:t>Development of guidelines for software maintenance of shipboard navigation and communication equipment and systems</w:t>
                  </w:r>
                </w:p>
                <w:p w14:paraId="1DD4F472" w14:textId="77777777" w:rsidR="00AF4AD3" w:rsidRDefault="00AF4AD3" w:rsidP="00412197">
                  <w:pPr>
                    <w:pStyle w:val="ListParagraph"/>
                    <w:spacing w:after="200" w:line="276" w:lineRule="auto"/>
                    <w:ind w:left="360"/>
                  </w:pPr>
                </w:p>
                <w:p w14:paraId="32717A6E" w14:textId="33A1AC58" w:rsidR="003A6BC7" w:rsidRDefault="003A6BC7" w:rsidP="00043C82">
                  <w:pPr>
                    <w:pStyle w:val="ListParagraph"/>
                    <w:numPr>
                      <w:ilvl w:val="0"/>
                      <w:numId w:val="1"/>
                    </w:numPr>
                    <w:spacing w:after="200" w:line="276" w:lineRule="auto"/>
                  </w:pPr>
                  <w:r>
                    <w:t>C</w:t>
                  </w:r>
                  <w:r w:rsidRPr="003A6BC7">
                    <w:t>onsider</w:t>
                  </w:r>
                  <w:r w:rsidR="0032143A" w:rsidRPr="0032143A">
                    <w:t xml:space="preserve"> </w:t>
                  </w:r>
                  <w:r w:rsidR="00043C82" w:rsidRPr="00043C82">
                    <w:t>the draft MSC circular on Guidelines for software maintenance of shipboard navigation and communication equipment and systems (NCSR 12/10) and advise the Sub-Committee, as appropriate</w:t>
                  </w:r>
                  <w:r w:rsidR="00043C82">
                    <w:t>.</w:t>
                  </w:r>
                </w:p>
                <w:p w14:paraId="0B33A441" w14:textId="77777777" w:rsidR="00043C82" w:rsidRDefault="00043C82" w:rsidP="00043C82">
                  <w:pPr>
                    <w:pStyle w:val="ListParagraph"/>
                    <w:spacing w:after="200" w:line="276" w:lineRule="auto"/>
                  </w:pPr>
                </w:p>
                <w:p w14:paraId="383D2DE7" w14:textId="5D272961" w:rsidR="003A6BC7" w:rsidRDefault="0032143A" w:rsidP="003A6BC7">
                  <w:pPr>
                    <w:pStyle w:val="ListParagraph"/>
                    <w:spacing w:after="200" w:line="276" w:lineRule="auto"/>
                    <w:ind w:left="360"/>
                  </w:pPr>
                  <w:r w:rsidRPr="0032143A">
                    <w:t>Agenda item 1</w:t>
                  </w:r>
                  <w:r w:rsidR="00043C82">
                    <w:t>4</w:t>
                  </w:r>
                  <w:r w:rsidRPr="0032143A">
                    <w:t xml:space="preserve"> – </w:t>
                  </w:r>
                  <w:r w:rsidR="00043C82" w:rsidRPr="00043C82">
                    <w:t>Development of guidance to establish a framework for data distribution and global IP-based connectivity between shore-based facilities and ships for ECDIS S-100 products</w:t>
                  </w:r>
                </w:p>
                <w:p w14:paraId="3993B342" w14:textId="7250C483" w:rsidR="00795367" w:rsidRDefault="00795367" w:rsidP="003A6BC7">
                  <w:pPr>
                    <w:pStyle w:val="ListParagraph"/>
                    <w:spacing w:after="200" w:line="276" w:lineRule="auto"/>
                    <w:ind w:left="360"/>
                  </w:pPr>
                </w:p>
                <w:p w14:paraId="3D702D27" w14:textId="294C10F1" w:rsidR="0032143A" w:rsidRDefault="00043C82" w:rsidP="00043C82">
                  <w:pPr>
                    <w:pStyle w:val="ListParagraph"/>
                    <w:numPr>
                      <w:ilvl w:val="0"/>
                      <w:numId w:val="1"/>
                    </w:numPr>
                    <w:spacing w:after="200" w:line="276" w:lineRule="auto"/>
                  </w:pPr>
                  <w:r>
                    <w:t>Consider the:</w:t>
                  </w:r>
                </w:p>
                <w:p w14:paraId="40FC0855" w14:textId="42362F21" w:rsidR="00043C82" w:rsidRDefault="00043C82" w:rsidP="00043C82">
                  <w:pPr>
                    <w:pStyle w:val="ListParagraph"/>
                    <w:numPr>
                      <w:ilvl w:val="1"/>
                      <w:numId w:val="1"/>
                    </w:numPr>
                    <w:spacing w:after="200" w:line="276" w:lineRule="auto"/>
                  </w:pPr>
                  <w:r>
                    <w:t>D</w:t>
                  </w:r>
                  <w:r w:rsidRPr="00043C82">
                    <w:t>raft guidance to establish a framework for data distribution and global IP-based connectivity for shore-based facilities and ships supporting ECDIS S-100 products (NCSR 12/14)</w:t>
                  </w:r>
                  <w:r>
                    <w:t>.</w:t>
                  </w:r>
                </w:p>
                <w:p w14:paraId="2242A55B" w14:textId="155D8513" w:rsidR="00043C82" w:rsidRDefault="00043C82" w:rsidP="00043C82">
                  <w:pPr>
                    <w:pStyle w:val="ListParagraph"/>
                    <w:numPr>
                      <w:ilvl w:val="1"/>
                      <w:numId w:val="1"/>
                    </w:numPr>
                    <w:spacing w:after="200" w:line="276" w:lineRule="auto"/>
                  </w:pPr>
                  <w:r>
                    <w:t>D</w:t>
                  </w:r>
                  <w:r w:rsidRPr="00043C82">
                    <w:t>raft list of elements associated with the implementation of S-100 capable ECDIS (NCSR 12/14/3)</w:t>
                  </w:r>
                  <w:r>
                    <w:t>.</w:t>
                  </w:r>
                </w:p>
                <w:p w14:paraId="49E89244" w14:textId="16D6DDDF" w:rsidR="00043C82" w:rsidRDefault="00043C82" w:rsidP="00043C82">
                  <w:pPr>
                    <w:spacing w:after="200" w:line="276" w:lineRule="auto"/>
                    <w:ind w:left="720"/>
                  </w:pPr>
                  <w:r>
                    <w:t>T</w:t>
                  </w:r>
                  <w:r w:rsidRPr="00043C82">
                    <w:t xml:space="preserve">aking into account documents NCSR 12/14/1, NCSR 12/14/2, NCSR 12/14/4, NCSR 12/14/5, NCSR 12/14/6, NCSR 12/14/7, NCSR 12/14/8 and NCSR 12/INF.14, and advise the Sub-Committee, as appropriate, including on any actions to continue progressing this work </w:t>
                  </w:r>
                  <w:proofErr w:type="spellStart"/>
                  <w:r w:rsidRPr="00043C82">
                    <w:t>intersessionally</w:t>
                  </w:r>
                  <w:proofErr w:type="spellEnd"/>
                  <w:r w:rsidRPr="00043C82">
                    <w:t>, if necessary.</w:t>
                  </w:r>
                </w:p>
                <w:p w14:paraId="7A923CE4" w14:textId="03033E8F" w:rsidR="00412197" w:rsidRDefault="00111A7E" w:rsidP="00051D2F">
                  <w:pPr>
                    <w:pStyle w:val="ListParagraph"/>
                    <w:numPr>
                      <w:ilvl w:val="0"/>
                      <w:numId w:val="6"/>
                    </w:numPr>
                    <w:spacing w:after="200" w:line="276" w:lineRule="auto"/>
                  </w:pPr>
                  <w:r>
                    <w:t>Working Group</w:t>
                  </w:r>
                  <w:r w:rsidR="00117595">
                    <w:t xml:space="preserve"> 2</w:t>
                  </w:r>
                  <w:r>
                    <w:t>. The terms of reference of this group were:</w:t>
                  </w:r>
                </w:p>
                <w:p w14:paraId="74B00D54" w14:textId="29A3C75F" w:rsidR="0054120E" w:rsidRDefault="007B4CE5" w:rsidP="0054120E">
                  <w:pPr>
                    <w:spacing w:after="200" w:line="276" w:lineRule="auto"/>
                    <w:ind w:left="360"/>
                  </w:pPr>
                  <w:r w:rsidRPr="007B4CE5">
                    <w:t xml:space="preserve">Agenda item </w:t>
                  </w:r>
                  <w:r w:rsidR="00117595">
                    <w:t>8</w:t>
                  </w:r>
                  <w:r w:rsidRPr="007B4CE5">
                    <w:t xml:space="preserve"> –</w:t>
                  </w:r>
                  <w:r w:rsidR="00117595">
                    <w:t xml:space="preserve"> </w:t>
                  </w:r>
                  <w:r w:rsidR="00117595" w:rsidRPr="00117595">
                    <w:t>Development of procedures and requirements for the recognition of augmentation systems in the Worldwide Radionavigation System</w:t>
                  </w:r>
                </w:p>
                <w:p w14:paraId="57390E4B" w14:textId="7E0CB5BA" w:rsidR="0054120E" w:rsidRDefault="007B4CE5" w:rsidP="00445C3D">
                  <w:pPr>
                    <w:pStyle w:val="ListParagraph"/>
                    <w:numPr>
                      <w:ilvl w:val="0"/>
                      <w:numId w:val="3"/>
                    </w:numPr>
                    <w:spacing w:after="200" w:line="276" w:lineRule="auto"/>
                  </w:pPr>
                  <w:r>
                    <w:t xml:space="preserve">Consider </w:t>
                  </w:r>
                  <w:r w:rsidR="00117595" w:rsidRPr="00117595">
                    <w:t>the development of procedures and requirements for the recognition of augmentation systems in the Worldwide Radionavigation System, taking into account documents NCSR 12/8 and NCSR 12/8/1, and advise the Sub-Committee, as appropriate</w:t>
                  </w:r>
                  <w:r w:rsidR="00117595">
                    <w:t>.</w:t>
                  </w:r>
                </w:p>
                <w:p w14:paraId="4AA82223" w14:textId="7D4AA51B" w:rsidR="0054120E" w:rsidRDefault="007B4CE5" w:rsidP="0054120E">
                  <w:pPr>
                    <w:spacing w:after="200" w:line="276" w:lineRule="auto"/>
                    <w:ind w:left="360"/>
                  </w:pPr>
                  <w:r w:rsidRPr="007B4CE5">
                    <w:t xml:space="preserve">Agenda item </w:t>
                  </w:r>
                  <w:r w:rsidR="00117595">
                    <w:t>9</w:t>
                  </w:r>
                  <w:r w:rsidRPr="007B4CE5">
                    <w:t xml:space="preserve"> – </w:t>
                  </w:r>
                  <w:r w:rsidR="00117595" w:rsidRPr="00117595">
                    <w:t>Development of amendments to SOLAS chapters IV and V and performance standards and guidelines to introduce VHF Data Exchange System (VDES)</w:t>
                  </w:r>
                </w:p>
                <w:p w14:paraId="2F2A6F74" w14:textId="462CCA5A" w:rsidR="007B4CE5" w:rsidRDefault="007B4CE5" w:rsidP="007B4CE5">
                  <w:pPr>
                    <w:pStyle w:val="ListParagraph"/>
                    <w:numPr>
                      <w:ilvl w:val="0"/>
                      <w:numId w:val="3"/>
                    </w:numPr>
                    <w:spacing w:after="200" w:line="276" w:lineRule="auto"/>
                  </w:pPr>
                  <w:r>
                    <w:t>C</w:t>
                  </w:r>
                  <w:r w:rsidRPr="007B4CE5">
                    <w:t xml:space="preserve">onsider </w:t>
                  </w:r>
                  <w:r w:rsidR="00117595" w:rsidRPr="00117595">
                    <w:t>the report of the Correspondence Group on VDES (NCSR 12/9), taking into account documents NCSR 12/9/1, NCSR 12/9/2 and NCSR 12/9/3, and:</w:t>
                  </w:r>
                </w:p>
                <w:p w14:paraId="7EA7681B" w14:textId="0470D448" w:rsidR="00117595" w:rsidRDefault="00117595" w:rsidP="00117595">
                  <w:pPr>
                    <w:pStyle w:val="ListParagraph"/>
                    <w:numPr>
                      <w:ilvl w:val="1"/>
                      <w:numId w:val="3"/>
                    </w:numPr>
                    <w:spacing w:after="200" w:line="276" w:lineRule="auto"/>
                  </w:pPr>
                  <w:r>
                    <w:t>Finalize the draft MSC resolution on Performance standards for shipborne VHF data exchange system (VDES) (NCSR 12/9, annex 2).</w:t>
                  </w:r>
                </w:p>
                <w:p w14:paraId="7751D7D4" w14:textId="057554A4" w:rsidR="00117595" w:rsidRDefault="00117595" w:rsidP="00117595">
                  <w:pPr>
                    <w:pStyle w:val="ListParagraph"/>
                    <w:numPr>
                      <w:ilvl w:val="1"/>
                      <w:numId w:val="3"/>
                    </w:numPr>
                    <w:spacing w:after="200" w:line="276" w:lineRule="auto"/>
                  </w:pPr>
                  <w:r>
                    <w:t>Finalize the draft MSC circular on Guidelines for the operational use of shipborne VHF data exchange system (VDES) (NCSR 12/9, annex 3)</w:t>
                  </w:r>
                </w:p>
                <w:p w14:paraId="19D1E252" w14:textId="3248729B" w:rsidR="00117595" w:rsidRDefault="00117595" w:rsidP="00117595">
                  <w:pPr>
                    <w:pStyle w:val="ListParagraph"/>
                    <w:numPr>
                      <w:ilvl w:val="1"/>
                      <w:numId w:val="3"/>
                    </w:numPr>
                    <w:spacing w:after="200" w:line="276" w:lineRule="auto"/>
                  </w:pPr>
                  <w:r>
                    <w:t xml:space="preserve">Prepare any necessary draft amendments to the 1974 SOLAS Convention and </w:t>
                  </w:r>
                  <w:r>
                    <w:lastRenderedPageBreak/>
                    <w:t>related mandatory instruments and advise the Sub-Committee on the appropriate date for entry into force of the draft amendments.</w:t>
                  </w:r>
                </w:p>
                <w:p w14:paraId="23E41279" w14:textId="4882865E" w:rsidR="00117595" w:rsidRDefault="00117595" w:rsidP="00117595">
                  <w:pPr>
                    <w:pStyle w:val="ListParagraph"/>
                    <w:numPr>
                      <w:ilvl w:val="1"/>
                      <w:numId w:val="3"/>
                    </w:numPr>
                    <w:spacing w:after="200" w:line="276" w:lineRule="auto"/>
                  </w:pPr>
                  <w:r>
                    <w:t>Finalize any necessary draft amendments and/or revisions to existing non-mandatory instruments, including the development of a draft MSC resolution outlining the use of VDES to comply with AIS provisions.</w:t>
                  </w:r>
                </w:p>
                <w:p w14:paraId="5758099F" w14:textId="342D3EDC" w:rsidR="00117595" w:rsidRDefault="00117595" w:rsidP="00C96957">
                  <w:pPr>
                    <w:pStyle w:val="ListParagraph"/>
                    <w:numPr>
                      <w:ilvl w:val="1"/>
                      <w:numId w:val="3"/>
                    </w:numPr>
                    <w:spacing w:after="200" w:line="276" w:lineRule="auto"/>
                  </w:pPr>
                  <w:r>
                    <w:t>Finalize the check and monitoring sheet for the process of amending the SOLAS Convention and related mandatory instruments required by SC.1/Circ.1500/Rev.3; and prepare the checklist for the identification of capacity-building implications, as required in the Committee's method of work (MSC-MEPC.1/Circ.5/Rev.6).</w:t>
                  </w:r>
                </w:p>
                <w:p w14:paraId="3E63FEB1" w14:textId="595A76E8" w:rsidR="00117595" w:rsidRDefault="00117595" w:rsidP="00C96957">
                  <w:pPr>
                    <w:pStyle w:val="ListParagraph"/>
                    <w:numPr>
                      <w:ilvl w:val="1"/>
                      <w:numId w:val="3"/>
                    </w:numPr>
                    <w:spacing w:after="200" w:line="276" w:lineRule="auto"/>
                  </w:pPr>
                  <w:r>
                    <w:t>Prepare relevant advice in response to the instructions given by the Maritime Safety Committee (MSC 103/21, paragraph 18.13).</w:t>
                  </w:r>
                </w:p>
                <w:p w14:paraId="42BBDE88" w14:textId="2BDC17FE" w:rsidR="007B4CE5" w:rsidRDefault="007B4CE5" w:rsidP="007B4CE5">
                  <w:pPr>
                    <w:spacing w:after="200" w:line="276" w:lineRule="auto"/>
                    <w:ind w:left="360"/>
                  </w:pPr>
                  <w:r w:rsidRPr="007B4CE5">
                    <w:t>Agenda item 1</w:t>
                  </w:r>
                  <w:r w:rsidR="00117595">
                    <w:t>2</w:t>
                  </w:r>
                  <w:r w:rsidRPr="007B4CE5">
                    <w:t xml:space="preserve"> – </w:t>
                  </w:r>
                  <w:r w:rsidR="00117595" w:rsidRPr="00117595">
                    <w:t>Development of guidelines for the use of electronic nautical publications (ENP)</w:t>
                  </w:r>
                </w:p>
                <w:p w14:paraId="39E89541" w14:textId="3EBE3188" w:rsidR="007B4CE5" w:rsidRDefault="007B4CE5" w:rsidP="007B4CE5">
                  <w:pPr>
                    <w:pStyle w:val="ListParagraph"/>
                    <w:numPr>
                      <w:ilvl w:val="0"/>
                      <w:numId w:val="3"/>
                    </w:numPr>
                    <w:spacing w:after="200" w:line="276" w:lineRule="auto"/>
                  </w:pPr>
                  <w:r>
                    <w:t>F</w:t>
                  </w:r>
                  <w:r w:rsidRPr="007B4CE5">
                    <w:t xml:space="preserve">inalize </w:t>
                  </w:r>
                  <w:r w:rsidR="004F6970" w:rsidRPr="004F6970">
                    <w:t>the draft MSC circular on Guidelines on carriage and use of electronic nautical publications system (NCSR 12/12, annex), taking into account document NCSR 12/12/1</w:t>
                  </w:r>
                  <w:r w:rsidR="004F6970">
                    <w:t>.</w:t>
                  </w:r>
                </w:p>
                <w:p w14:paraId="3BEA8650" w14:textId="77777777" w:rsidR="00C22B15" w:rsidRDefault="00C22B15" w:rsidP="00C22B15">
                  <w:pPr>
                    <w:pStyle w:val="ListParagraph"/>
                    <w:spacing w:after="200" w:line="276" w:lineRule="auto"/>
                    <w:ind w:left="360"/>
                  </w:pPr>
                </w:p>
                <w:p w14:paraId="79F74726" w14:textId="13630F66" w:rsidR="00111A7E" w:rsidRDefault="00111A7E" w:rsidP="00051D2F">
                  <w:pPr>
                    <w:pStyle w:val="ListParagraph"/>
                    <w:numPr>
                      <w:ilvl w:val="0"/>
                      <w:numId w:val="6"/>
                    </w:numPr>
                    <w:spacing w:after="200" w:line="276" w:lineRule="auto"/>
                  </w:pPr>
                  <w:r>
                    <w:t>Working Group</w:t>
                  </w:r>
                  <w:r w:rsidR="004F6970">
                    <w:t xml:space="preserve"> 3</w:t>
                  </w:r>
                  <w:r>
                    <w:t>. The terms of reference of this group were:</w:t>
                  </w:r>
                </w:p>
                <w:p w14:paraId="1E716BA0" w14:textId="208BFA4B" w:rsidR="00111A7E" w:rsidRDefault="009F3C83" w:rsidP="004D1417">
                  <w:pPr>
                    <w:ind w:left="360"/>
                  </w:pPr>
                  <w:r w:rsidRPr="009F3C83">
                    <w:t>Agenda item 5 – Developments in GMDSS services, including guidelines on maritime safety information (MSI)</w:t>
                  </w:r>
                </w:p>
                <w:p w14:paraId="3B36D065" w14:textId="40E580C4" w:rsidR="004D1417" w:rsidRDefault="004D1417" w:rsidP="004D1417">
                  <w:pPr>
                    <w:ind w:left="360"/>
                  </w:pPr>
                </w:p>
                <w:p w14:paraId="5BFE3DC3" w14:textId="6C980E58" w:rsidR="004F6970" w:rsidRDefault="004F6970" w:rsidP="004F6970">
                  <w:pPr>
                    <w:pStyle w:val="ListParagraph"/>
                    <w:numPr>
                      <w:ilvl w:val="0"/>
                      <w:numId w:val="4"/>
                    </w:numPr>
                  </w:pPr>
                  <w:r>
                    <w:t>C</w:t>
                  </w:r>
                  <w:r w:rsidRPr="004F6970">
                    <w:t>onsider NAVDAT implementation issues and advise the Sub-Committee, as appropriate, on the following:</w:t>
                  </w:r>
                </w:p>
                <w:p w14:paraId="41A39AE2" w14:textId="22DB4E22" w:rsidR="004F6970" w:rsidRDefault="004F6970" w:rsidP="004F6970">
                  <w:pPr>
                    <w:pStyle w:val="ListParagraph"/>
                    <w:numPr>
                      <w:ilvl w:val="1"/>
                      <w:numId w:val="4"/>
                    </w:numPr>
                  </w:pPr>
                  <w:r>
                    <w:t>The road map on the issues to be considered regarding the introduction of the NAVDAT service (NCSR 12/6, annex 9).</w:t>
                  </w:r>
                </w:p>
                <w:p w14:paraId="3C79A1EC" w14:textId="42252168" w:rsidR="004F6970" w:rsidRDefault="004F6970" w:rsidP="004F6970">
                  <w:pPr>
                    <w:pStyle w:val="ListParagraph"/>
                    <w:numPr>
                      <w:ilvl w:val="1"/>
                      <w:numId w:val="4"/>
                    </w:numPr>
                  </w:pPr>
                  <w:r>
                    <w:t>The draft NAVDAT manual (NCSR 12/6, annex 8, taking into account documents NCSR 12/5/5 and NCSR 12/5/7).</w:t>
                  </w:r>
                </w:p>
                <w:p w14:paraId="4B61FAE8" w14:textId="5E09AF6C" w:rsidR="004F6970" w:rsidRDefault="004F6970" w:rsidP="004F6970">
                  <w:pPr>
                    <w:pStyle w:val="ListParagraph"/>
                    <w:numPr>
                      <w:ilvl w:val="1"/>
                      <w:numId w:val="4"/>
                    </w:numPr>
                  </w:pPr>
                  <w:r>
                    <w:t>The comments of the Chair of the IMO NAVTEX Coordinating Panel concerning the introduction and implementation of NAVDAT (NCSR 12/5, annex 2).</w:t>
                  </w:r>
                </w:p>
                <w:p w14:paraId="35A3D076" w14:textId="3F9F5196" w:rsidR="004F6970" w:rsidRDefault="004F6970" w:rsidP="004F6970">
                  <w:pPr>
                    <w:pStyle w:val="ListParagraph"/>
                    <w:numPr>
                      <w:ilvl w:val="0"/>
                      <w:numId w:val="4"/>
                    </w:numPr>
                  </w:pPr>
                  <w:r>
                    <w:t>P</w:t>
                  </w:r>
                  <w:r w:rsidRPr="004F6970">
                    <w:t>repare a draft MSC circular with revised terms of reference of the IMO NAVTEXT Coordinating Panel, along with any other necessary guidance or information (NCSR 11/5, annex 3), and advise the Sub-Committee on the name of such panel</w:t>
                  </w:r>
                  <w:r>
                    <w:t>.</w:t>
                  </w:r>
                </w:p>
                <w:p w14:paraId="48E29D49" w14:textId="4FE62F6B" w:rsidR="009F3C83" w:rsidRDefault="004F6970" w:rsidP="004F6970">
                  <w:pPr>
                    <w:pStyle w:val="ListParagraph"/>
                    <w:numPr>
                      <w:ilvl w:val="0"/>
                      <w:numId w:val="4"/>
                    </w:numPr>
                  </w:pPr>
                  <w:r>
                    <w:t>C</w:t>
                  </w:r>
                  <w:r w:rsidRPr="004F6970">
                    <w:t>onsider the draft amendments to the SOLAS Convention, including any necessary consequential amendments to related instruments (NCSR 12/6, annexes 5 to 7), to clearly state the requirement for dissemination of maritime safety information and search and rescue related information through all operational recognized mobile satellite services, taking into account the proposals in documents NCSR 12/5/4 and NCSR 12/5/8, and advise the Sub-Committee, as appropriate</w:t>
                  </w:r>
                  <w:r>
                    <w:t>.</w:t>
                  </w:r>
                </w:p>
                <w:p w14:paraId="7BDF55F1" w14:textId="77777777" w:rsidR="004F6970" w:rsidRDefault="004F6970" w:rsidP="004F6970">
                  <w:pPr>
                    <w:pStyle w:val="ListParagraph"/>
                  </w:pPr>
                </w:p>
                <w:p w14:paraId="1DB8A55B" w14:textId="1AC854EE" w:rsidR="00700ECF" w:rsidRDefault="009F3C83" w:rsidP="00700ECF">
                  <w:pPr>
                    <w:ind w:left="360"/>
                  </w:pPr>
                  <w:r w:rsidRPr="009F3C83">
                    <w:t>Agenda item 7 – Development of global maritime SAR services, including harmonization of maritime and aeronautical procedures and amendments to the IAMSAR Manual</w:t>
                  </w:r>
                </w:p>
                <w:p w14:paraId="23D14793" w14:textId="2EB39ADC" w:rsidR="00D31DCD" w:rsidRDefault="00D31DCD" w:rsidP="00700ECF">
                  <w:pPr>
                    <w:ind w:left="360"/>
                  </w:pPr>
                </w:p>
                <w:p w14:paraId="2227B14A" w14:textId="2BC1B5FD" w:rsidR="003F1EB0" w:rsidRDefault="00D31DCD" w:rsidP="004F6970">
                  <w:pPr>
                    <w:pStyle w:val="ListParagraph"/>
                    <w:numPr>
                      <w:ilvl w:val="0"/>
                      <w:numId w:val="4"/>
                    </w:numPr>
                  </w:pPr>
                  <w:r>
                    <w:t>C</w:t>
                  </w:r>
                  <w:r w:rsidRPr="00D31DCD">
                    <w:t>onsider</w:t>
                  </w:r>
                  <w:r w:rsidR="004F6970" w:rsidRPr="004F6970">
                    <w:t xml:space="preserve"> the work carried out by the ICAO/IMO Joint Working Group on the following matters for inclusion into the IAMSAR Manual:</w:t>
                  </w:r>
                </w:p>
                <w:p w14:paraId="79977FDB" w14:textId="2206363C" w:rsidR="004F6970" w:rsidRDefault="004F6970" w:rsidP="004F6970">
                  <w:pPr>
                    <w:pStyle w:val="ListParagraph"/>
                    <w:numPr>
                      <w:ilvl w:val="1"/>
                      <w:numId w:val="4"/>
                    </w:numPr>
                  </w:pPr>
                  <w:r>
                    <w:t xml:space="preserve">Psychology of emergency, including the possibility of developing a draft circular </w:t>
                  </w:r>
                  <w:r>
                    <w:lastRenderedPageBreak/>
                    <w:t>on the subject (NCSR 12/7, paragraph 2.4).</w:t>
                  </w:r>
                </w:p>
                <w:p w14:paraId="4410FB94" w14:textId="2EDF4403" w:rsidR="004F6970" w:rsidRDefault="004F6970" w:rsidP="004F6970">
                  <w:pPr>
                    <w:pStyle w:val="ListParagraph"/>
                    <w:numPr>
                      <w:ilvl w:val="1"/>
                      <w:numId w:val="4"/>
                    </w:numPr>
                  </w:pPr>
                  <w:r>
                    <w:t>Optimizing homing operations for 406 MHz distress beacon and automatic identification system (AIS) signals (NCSR 12/7, paragraph 2.7).</w:t>
                  </w:r>
                </w:p>
                <w:p w14:paraId="5A9042E4" w14:textId="2363EA2D" w:rsidR="004F6970" w:rsidRDefault="004F6970" w:rsidP="004F6970">
                  <w:pPr>
                    <w:pStyle w:val="ListParagraph"/>
                    <w:numPr>
                      <w:ilvl w:val="1"/>
                      <w:numId w:val="4"/>
                    </w:numPr>
                  </w:pPr>
                  <w:r>
                    <w:t>Guidance on submarines and passenger submersible craft and related SAR issues (NCSR 12/7, paragraph 2.9).</w:t>
                  </w:r>
                </w:p>
                <w:p w14:paraId="284BC5F5" w14:textId="77777777" w:rsidR="004F6970" w:rsidRDefault="004F6970" w:rsidP="004F6970">
                  <w:pPr>
                    <w:pStyle w:val="ListParagraph"/>
                    <w:ind w:left="1080"/>
                  </w:pPr>
                </w:p>
                <w:p w14:paraId="6DEB6F6E" w14:textId="647E6AE8" w:rsidR="004F6970" w:rsidRDefault="004F6970" w:rsidP="004F6970">
                  <w:r>
                    <w:t xml:space="preserve">             and advise the Sub-Committee as appropriate.</w:t>
                  </w:r>
                </w:p>
                <w:p w14:paraId="444FA252" w14:textId="77777777" w:rsidR="004F6970" w:rsidRDefault="004F6970" w:rsidP="004F6970"/>
                <w:p w14:paraId="4DCF9706" w14:textId="3456F2FE" w:rsidR="004F6970" w:rsidRDefault="004F6970" w:rsidP="004F6970">
                  <w:pPr>
                    <w:pStyle w:val="ListParagraph"/>
                    <w:numPr>
                      <w:ilvl w:val="0"/>
                      <w:numId w:val="4"/>
                    </w:numPr>
                  </w:pPr>
                  <w:r>
                    <w:t>Consider the work carried out by the ICAO/IMO Joint Working Group on the development of a strategic outlook for the global SAR operating environment (NCSR 12/7, paragraph 2.6), and advise the Sub-Committee as appropriate.</w:t>
                  </w:r>
                </w:p>
                <w:p w14:paraId="2FE1987A" w14:textId="57B5689E" w:rsidR="004F6970" w:rsidRDefault="004F6970" w:rsidP="004F6970">
                  <w:pPr>
                    <w:pStyle w:val="ListParagraph"/>
                    <w:numPr>
                      <w:ilvl w:val="0"/>
                      <w:numId w:val="4"/>
                    </w:numPr>
                  </w:pPr>
                  <w:r>
                    <w:t>Consider the draft provisional agenda for the thirty-second meeting of the ICAO/IMO Joint Working Group (NCSR 12/7, annex, appendix 5) and provide any necessary advice and instructions concerning the scope of the work that should be conducted by JWG 32, taking into account the instructions of MSC 109 (MSC 109/22, paragraph 19.8) and the Committees' method of work (MSC-MEPC.1/Circ.5/Rev.6).</w:t>
                  </w:r>
                </w:p>
                <w:p w14:paraId="7CA33BE3" w14:textId="161960F2" w:rsidR="004F6970" w:rsidRDefault="004F6970" w:rsidP="004F6970">
                  <w:pPr>
                    <w:pStyle w:val="ListParagraph"/>
                    <w:numPr>
                      <w:ilvl w:val="0"/>
                      <w:numId w:val="4"/>
                    </w:numPr>
                  </w:pPr>
                  <w:r>
                    <w:t>Consider document MSC 109/13/7 (Colombia) proposing amendments to IAMSAR Manual Volume I and advise the Sub-Committee, as appropriate.</w:t>
                  </w:r>
                </w:p>
                <w:p w14:paraId="1D3D5CD1" w14:textId="386C2804" w:rsidR="004F6970" w:rsidRDefault="004F6970" w:rsidP="004F6970">
                  <w:pPr>
                    <w:pStyle w:val="ListParagraph"/>
                    <w:numPr>
                      <w:ilvl w:val="0"/>
                      <w:numId w:val="4"/>
                    </w:numPr>
                  </w:pPr>
                  <w:r>
                    <w:t>Review and finalize the draft COMSAR circular on Guidance for entering and updating information on search and rescue services into the Global SAR Plan and on how to get access to the information for operational use (NCSR 12/7/1).</w:t>
                  </w:r>
                </w:p>
                <w:p w14:paraId="785F4A00" w14:textId="503128E4" w:rsidR="004F6970" w:rsidRDefault="004F6970" w:rsidP="004F6970">
                  <w:pPr>
                    <w:pStyle w:val="ListParagraph"/>
                    <w:numPr>
                      <w:ilvl w:val="0"/>
                      <w:numId w:val="4"/>
                    </w:numPr>
                  </w:pPr>
                  <w:r>
                    <w:t>Give initial consideration to the review of the appropriateness and effectiveness of SOLAS regulation V/7.3 (Search and rescue services), taking into account the background information provided in document NCSR 12/7/2, and advise the Sub-Committee, as appropriate.</w:t>
                  </w:r>
                </w:p>
                <w:p w14:paraId="34AA4E8B" w14:textId="77777777" w:rsidR="00426299" w:rsidRDefault="00426299" w:rsidP="00426299">
                  <w:pPr>
                    <w:pStyle w:val="ListParagraph"/>
                  </w:pPr>
                </w:p>
                <w:p w14:paraId="6F73A400" w14:textId="4C00DCEE" w:rsidR="00F77D32" w:rsidRDefault="003870E5" w:rsidP="006527CC">
                  <w:pPr>
                    <w:pStyle w:val="ListParagraph"/>
                    <w:numPr>
                      <w:ilvl w:val="0"/>
                      <w:numId w:val="5"/>
                    </w:numPr>
                    <w:spacing w:after="200" w:line="276" w:lineRule="auto"/>
                  </w:pPr>
                  <w:r>
                    <w:t>The Ships’ Routeing Experts Group. The terms of reference of this group were:</w:t>
                  </w:r>
                </w:p>
                <w:p w14:paraId="2351E12C" w14:textId="77777777" w:rsidR="00F77D32" w:rsidRDefault="00F77D32" w:rsidP="00F77D32">
                  <w:pPr>
                    <w:pStyle w:val="ListParagraph"/>
                    <w:spacing w:after="200" w:line="276" w:lineRule="auto"/>
                    <w:ind w:left="360"/>
                  </w:pPr>
                </w:p>
                <w:p w14:paraId="0A0C26A3" w14:textId="47983DA8" w:rsidR="00F77D32" w:rsidRDefault="00F77D32" w:rsidP="00F77D32">
                  <w:pPr>
                    <w:pStyle w:val="ListParagraph"/>
                    <w:numPr>
                      <w:ilvl w:val="0"/>
                      <w:numId w:val="14"/>
                    </w:numPr>
                    <w:spacing w:after="200" w:line="276" w:lineRule="auto"/>
                  </w:pPr>
                  <w:r>
                    <w:t>Consider document NCSR 12/3/1 proposing the establishment of an area to be avoided off the coast of Réunion, taking into account documents NCSR  12/INF.5 and NCSR 12/INF.6 and the preliminary assessment in document NCSR 12/WP.3, and advise the Sub-Committee, as appropriate.</w:t>
                  </w:r>
                </w:p>
                <w:p w14:paraId="3A95F9A4" w14:textId="4380D7F0" w:rsidR="00F77D32" w:rsidRDefault="00F77D32" w:rsidP="00B71C8A">
                  <w:pPr>
                    <w:pStyle w:val="ListParagraph"/>
                    <w:numPr>
                      <w:ilvl w:val="0"/>
                      <w:numId w:val="14"/>
                    </w:numPr>
                    <w:spacing w:after="200" w:line="276" w:lineRule="auto"/>
                  </w:pPr>
                  <w:r>
                    <w:t>Consider document NCSR 12/3 proposing amendments to the existing mandatory ship reporting system in the Adriatic Sea (ADRIREP), taking into account the preliminary assessment in document NCSR 12/WP.3 and advise the Sub-Committee, as appropriate.</w:t>
                  </w:r>
                </w:p>
                <w:p w14:paraId="23C11BFC" w14:textId="7137F109" w:rsidR="00E91202" w:rsidRDefault="00F77D32" w:rsidP="00E91202">
                  <w:pPr>
                    <w:pStyle w:val="ListParagraph"/>
                    <w:numPr>
                      <w:ilvl w:val="0"/>
                      <w:numId w:val="14"/>
                    </w:numPr>
                    <w:spacing w:after="200" w:line="276" w:lineRule="auto"/>
                  </w:pPr>
                  <w:r>
                    <w:t>Consider document NCSR 12/3/3 proposing amendments to existing mandatory ship reporting systems BELTREP, BONIFREP, CANREP, COPREP, FINREP, GDANREP, MANCHEREP, OUESSREP, SOUNDREP, TRANSREP, as contained in resolutions MSC.63(67), amended by MSC.332(90); MSC.73(69); MSC.251(83); MSC.278(85); MSC.63(67), amended by MSC.162(78); MSC.249(83); MSC.110(73), amended by MSC.251(83); MSC.52(66), amended by MSC.127(75) and MSC.251(83); MSC.314(88); MSC.250(83) amended by MSC.316(88), respectively, taking into account the preliminary assessment in document NCSR 12/WP.3, and advise the Sub-Committee, as appropriate.</w:t>
                  </w:r>
                  <w:r w:rsidR="00A6122F">
                    <w:t xml:space="preserve">   </w:t>
                  </w:r>
                </w:p>
                <w:p w14:paraId="47C45D4F" w14:textId="507FEE29" w:rsidR="00E91202" w:rsidRDefault="00E91202" w:rsidP="00E91202">
                  <w:r>
                    <w:t xml:space="preserve">5. </w:t>
                  </w:r>
                  <w:r w:rsidRPr="00E91202">
                    <w:t xml:space="preserve">The </w:t>
                  </w:r>
                  <w:r>
                    <w:t>Drafting</w:t>
                  </w:r>
                  <w:r w:rsidRPr="00E91202">
                    <w:t xml:space="preserve"> Group. The terms of reference of this group were:</w:t>
                  </w:r>
                </w:p>
                <w:p w14:paraId="7BD9E2BE" w14:textId="77777777" w:rsidR="00E91202" w:rsidRDefault="00E91202" w:rsidP="00E91202"/>
                <w:p w14:paraId="0B69DC60" w14:textId="74753BB1" w:rsidR="00F77D32" w:rsidRDefault="00E91202" w:rsidP="00E91202">
                  <w:pPr>
                    <w:pStyle w:val="ListParagraph"/>
                    <w:numPr>
                      <w:ilvl w:val="0"/>
                      <w:numId w:val="15"/>
                    </w:numPr>
                    <w:spacing w:after="200" w:line="276" w:lineRule="auto"/>
                  </w:pPr>
                  <w:r>
                    <w:lastRenderedPageBreak/>
                    <w:t>R</w:t>
                  </w:r>
                  <w:r w:rsidRPr="00E91202">
                    <w:t xml:space="preserve">eview and finalize the draft revision of resolution MSC.379(93) on </w:t>
                  </w:r>
                  <w:r w:rsidRPr="00E91202">
                    <w:rPr>
                      <w:i/>
                      <w:iCs/>
                    </w:rPr>
                    <w:t xml:space="preserve">Performance standards for shipborne BeiDou Satellite Navigation System (BDS) receiver equipment </w:t>
                  </w:r>
                  <w:r w:rsidRPr="00E91202">
                    <w:t>(NCSR 12/13), taking into account the provisions of paragraph 4.2.6.3 of MSC.1/Circ.1500/Rev.2 concerning the use of the term "installed" in the application statements of an IMO instrument</w:t>
                  </w:r>
                  <w:r>
                    <w:t>.</w:t>
                  </w:r>
                </w:p>
              </w:tc>
            </w:tr>
            <w:tr w:rsidR="00412197" w:rsidRPr="00DD2B9E" w14:paraId="657CD2BD" w14:textId="77777777" w:rsidTr="00666DBA">
              <w:tc>
                <w:tcPr>
                  <w:tcW w:w="9332" w:type="dxa"/>
                </w:tcPr>
                <w:p w14:paraId="5D07153B" w14:textId="77777777" w:rsidR="00412197" w:rsidRDefault="00412197" w:rsidP="00412197">
                  <w:r>
                    <w:lastRenderedPageBreak/>
                    <w:t>ATTACHMENTS/SUPPORTING DOCUMENTATION:</w:t>
                  </w:r>
                </w:p>
                <w:p w14:paraId="73C65471" w14:textId="77777777" w:rsidR="00412197" w:rsidRDefault="00412197" w:rsidP="00412197"/>
                <w:p w14:paraId="1AA2755B" w14:textId="17E148B7" w:rsidR="00412197" w:rsidRPr="00DD2B9E" w:rsidRDefault="002D643D" w:rsidP="00412197">
                  <w:r>
                    <w:object w:dxaOrig="1503" w:dyaOrig="981" w14:anchorId="15A50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3" o:title=""/>
                      </v:shape>
                      <o:OLEObject Type="Embed" ProgID="Acrobat.Document.DC" ShapeID="_x0000_i1025" DrawAspect="Icon" ObjectID="_1810364767" r:id="rId14"/>
                    </w:object>
                  </w:r>
                  <w:r>
                    <w:object w:dxaOrig="1503" w:dyaOrig="981" w14:anchorId="66FEF941">
                      <v:shape id="_x0000_i1026" type="#_x0000_t75" style="width:75pt;height:49pt" o:ole="">
                        <v:imagedata r:id="rId15" o:title=""/>
                      </v:shape>
                      <o:OLEObject Type="Embed" ProgID="Acrobat.Document.DC" ShapeID="_x0000_i1026" DrawAspect="Icon" ObjectID="_1810364768" r:id="rId16"/>
                    </w:object>
                  </w:r>
                  <w:r>
                    <w:object w:dxaOrig="1503" w:dyaOrig="981" w14:anchorId="1C04CA28">
                      <v:shape id="_x0000_i1027" type="#_x0000_t75" style="width:75pt;height:49pt" o:ole="">
                        <v:imagedata r:id="rId17" o:title=""/>
                      </v:shape>
                      <o:OLEObject Type="Embed" ProgID="Acrobat.Document.DC" ShapeID="_x0000_i1027" DrawAspect="Icon" ObjectID="_1810364769" r:id="rId18"/>
                    </w:object>
                  </w:r>
                  <w:r>
                    <w:object w:dxaOrig="1503" w:dyaOrig="981" w14:anchorId="4B6F70F0">
                      <v:shape id="_x0000_i1028" type="#_x0000_t75" style="width:75pt;height:49pt" o:ole="">
                        <v:imagedata r:id="rId19" o:title=""/>
                      </v:shape>
                      <o:OLEObject Type="Embed" ProgID="Acrobat.Document.DC" ShapeID="_x0000_i1028" DrawAspect="Icon" ObjectID="_1810364770" r:id="rId20"/>
                    </w:object>
                  </w:r>
                  <w:r>
                    <w:object w:dxaOrig="1503" w:dyaOrig="981" w14:anchorId="15AD86CE">
                      <v:shape id="_x0000_i1029" type="#_x0000_t75" style="width:75pt;height:49pt" o:ole="">
                        <v:imagedata r:id="rId21" o:title=""/>
                      </v:shape>
                      <o:OLEObject Type="Embed" ProgID="Acrobat.Document.DC" ShapeID="_x0000_i1029" DrawAspect="Icon" ObjectID="_1810364771" r:id="rId22"/>
                    </w:object>
                  </w:r>
                  <w:r>
                    <w:object w:dxaOrig="1503" w:dyaOrig="981" w14:anchorId="38AF5AC4">
                      <v:shape id="_x0000_i1030" type="#_x0000_t75" style="width:75pt;height:49pt" o:ole="">
                        <v:imagedata r:id="rId23" o:title=""/>
                      </v:shape>
                      <o:OLEObject Type="Embed" ProgID="Acrobat.Document.DC" ShapeID="_x0000_i1030" DrawAspect="Icon" ObjectID="_1810364772" r:id="rId24"/>
                    </w:object>
                  </w:r>
                </w:p>
              </w:tc>
            </w:tr>
          </w:tbl>
          <w:p w14:paraId="4ED5F476" w14:textId="77777777" w:rsidR="00412197" w:rsidRDefault="00412197" w:rsidP="00412197"/>
          <w:p w14:paraId="07E427DA" w14:textId="3D809123" w:rsidR="00412197" w:rsidRPr="00120D96" w:rsidRDefault="00412197" w:rsidP="00412197"/>
        </w:tc>
      </w:tr>
      <w:tr w:rsidR="00AA68DD" w14:paraId="2E134060" w14:textId="77777777">
        <w:tc>
          <w:tcPr>
            <w:tcW w:w="10476" w:type="dxa"/>
          </w:tcPr>
          <w:p w14:paraId="4ABF75B3" w14:textId="47A5337D" w:rsidR="00367D78" w:rsidRDefault="00367D78" w:rsidP="00024989">
            <w:pPr>
              <w:pStyle w:val="ListParagraph"/>
              <w:ind w:left="1380"/>
            </w:pPr>
          </w:p>
        </w:tc>
      </w:tr>
      <w:tr w:rsidR="00AA68DD" w14:paraId="005B016C" w14:textId="77777777">
        <w:tc>
          <w:tcPr>
            <w:tcW w:w="10476" w:type="dxa"/>
          </w:tcPr>
          <w:p w14:paraId="5560DF15" w14:textId="3F5A503C" w:rsidR="00DD2B9E" w:rsidRPr="00DD2B9E" w:rsidRDefault="00DD2B9E" w:rsidP="00773A3A"/>
        </w:tc>
      </w:tr>
    </w:tbl>
    <w:p w14:paraId="3E524914" w14:textId="1D0EB627" w:rsidR="00AA68DD" w:rsidRDefault="00FF3D9D">
      <w:r>
        <w:tab/>
      </w:r>
    </w:p>
    <w:p w14:paraId="75CA4A9F" w14:textId="77777777" w:rsidR="00FF3D9D" w:rsidRDefault="00FF3D9D">
      <w:r>
        <w:tab/>
      </w:r>
      <w:r>
        <w:tab/>
      </w:r>
      <w:r>
        <w:tab/>
      </w:r>
      <w:r>
        <w:tab/>
      </w:r>
      <w:r>
        <w:tab/>
      </w:r>
    </w:p>
    <w:sectPr w:rsidR="00FF3D9D" w:rsidSect="00544C3F">
      <w:pgSz w:w="11906" w:h="16838"/>
      <w:pgMar w:top="1440" w:right="1440"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E9404" w14:textId="77777777" w:rsidR="00DF6EDC" w:rsidRDefault="00DF6EDC" w:rsidP="001D0118">
      <w:r>
        <w:separator/>
      </w:r>
    </w:p>
  </w:endnote>
  <w:endnote w:type="continuationSeparator" w:id="0">
    <w:p w14:paraId="725F24FC" w14:textId="77777777" w:rsidR="00DF6EDC" w:rsidRDefault="00DF6EDC" w:rsidP="001D0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6A348" w14:textId="77777777" w:rsidR="00DF6EDC" w:rsidRDefault="00DF6EDC" w:rsidP="001D0118">
      <w:r>
        <w:separator/>
      </w:r>
    </w:p>
  </w:footnote>
  <w:footnote w:type="continuationSeparator" w:id="0">
    <w:p w14:paraId="7C71DD14" w14:textId="77777777" w:rsidR="00DF6EDC" w:rsidRDefault="00DF6EDC" w:rsidP="001D01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647A1"/>
    <w:multiLevelType w:val="multilevel"/>
    <w:tmpl w:val="5DECB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B4695"/>
    <w:multiLevelType w:val="hybridMultilevel"/>
    <w:tmpl w:val="19A2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1D233A"/>
    <w:multiLevelType w:val="multilevel"/>
    <w:tmpl w:val="1904F52A"/>
    <w:lvl w:ilvl="0">
      <w:start w:val="1"/>
      <w:numFmt w:val="decimal"/>
      <w:lvlText w:val="%1."/>
      <w:lvlJc w:val="left"/>
      <w:pPr>
        <w:ind w:left="720" w:hanging="360"/>
      </w:pPr>
      <w:rPr>
        <w:rFonts w:hint="default"/>
      </w:rPr>
    </w:lvl>
    <w:lvl w:ilvl="1">
      <w:start w:val="1"/>
      <w:numFmt w:val="decimal"/>
      <w:lvlText w:val="%2."/>
      <w:lvlJc w:val="left"/>
      <w:pPr>
        <w:ind w:left="1080" w:hanging="360"/>
      </w:p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 w15:restartNumberingAfterBreak="0">
    <w:nsid w:val="0FDD385F"/>
    <w:multiLevelType w:val="multilevel"/>
    <w:tmpl w:val="5DECB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7F0D33"/>
    <w:multiLevelType w:val="multilevel"/>
    <w:tmpl w:val="5DECB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D6BF3"/>
    <w:multiLevelType w:val="multilevel"/>
    <w:tmpl w:val="173C960C"/>
    <w:lvl w:ilvl="0">
      <w:start w:val="1"/>
      <w:numFmt w:val="decimal"/>
      <w:lvlText w:val="%1."/>
      <w:lvlJc w:val="left"/>
      <w:pPr>
        <w:ind w:left="720" w:hanging="360"/>
      </w:pPr>
      <w:rPr>
        <w:rFonts w:hint="default"/>
      </w:rPr>
    </w:lvl>
    <w:lvl w:ilvl="1">
      <w:start w:val="1"/>
      <w:numFmt w:val="decimal"/>
      <w:lvlText w:val="%2."/>
      <w:lvlJc w:val="left"/>
      <w:pPr>
        <w:ind w:left="1080" w:hanging="360"/>
      </w:p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 w15:restartNumberingAfterBreak="0">
    <w:nsid w:val="1927292F"/>
    <w:multiLevelType w:val="multilevel"/>
    <w:tmpl w:val="DB42156E"/>
    <w:lvl w:ilvl="0">
      <w:start w:val="1"/>
      <w:numFmt w:val="decimal"/>
      <w:lvlText w:val="%1."/>
      <w:lvlJc w:val="left"/>
      <w:pPr>
        <w:ind w:left="720" w:hanging="360"/>
      </w:pPr>
      <w:rPr>
        <w:rFonts w:hint="default"/>
      </w:rPr>
    </w:lvl>
    <w:lvl w:ilvl="1">
      <w:start w:val="1"/>
      <w:numFmt w:val="decimal"/>
      <w:lvlText w:val="%2."/>
      <w:lvlJc w:val="left"/>
      <w:pPr>
        <w:ind w:left="1080" w:hanging="360"/>
      </w:p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7" w15:restartNumberingAfterBreak="0">
    <w:nsid w:val="1A212944"/>
    <w:multiLevelType w:val="hybridMultilevel"/>
    <w:tmpl w:val="ACAE3B40"/>
    <w:lvl w:ilvl="0" w:tplc="CB0C3662">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C773529"/>
    <w:multiLevelType w:val="multilevel"/>
    <w:tmpl w:val="53684EAE"/>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9" w15:restartNumberingAfterBreak="0">
    <w:nsid w:val="22862967"/>
    <w:multiLevelType w:val="multilevel"/>
    <w:tmpl w:val="5DECB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AB2527"/>
    <w:multiLevelType w:val="hybridMultilevel"/>
    <w:tmpl w:val="470E60EA"/>
    <w:lvl w:ilvl="0" w:tplc="E32CA994">
      <w:start w:val="1"/>
      <w:numFmt w:val="decimal"/>
      <w:lvlText w:val="%1."/>
      <w:lvlJc w:val="left"/>
      <w:pPr>
        <w:ind w:left="480" w:hanging="36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11" w15:restartNumberingAfterBreak="0">
    <w:nsid w:val="2E0D6933"/>
    <w:multiLevelType w:val="multilevel"/>
    <w:tmpl w:val="499AE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436EE3"/>
    <w:multiLevelType w:val="hybridMultilevel"/>
    <w:tmpl w:val="89D05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097158"/>
    <w:multiLevelType w:val="hybridMultilevel"/>
    <w:tmpl w:val="F9EC8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A52476"/>
    <w:multiLevelType w:val="multilevel"/>
    <w:tmpl w:val="1904F52A"/>
    <w:lvl w:ilvl="0">
      <w:start w:val="1"/>
      <w:numFmt w:val="decimal"/>
      <w:lvlText w:val="%1."/>
      <w:lvlJc w:val="left"/>
      <w:pPr>
        <w:ind w:left="720" w:hanging="360"/>
      </w:pPr>
      <w:rPr>
        <w:rFonts w:hint="default"/>
      </w:rPr>
    </w:lvl>
    <w:lvl w:ilvl="1">
      <w:start w:val="1"/>
      <w:numFmt w:val="decimal"/>
      <w:lvlText w:val="%2."/>
      <w:lvlJc w:val="left"/>
      <w:pPr>
        <w:ind w:left="1080" w:hanging="360"/>
      </w:p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5" w15:restartNumberingAfterBreak="0">
    <w:nsid w:val="3B7C3C49"/>
    <w:multiLevelType w:val="multilevel"/>
    <w:tmpl w:val="03260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037BF5"/>
    <w:multiLevelType w:val="multilevel"/>
    <w:tmpl w:val="8F4A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9B1EA7"/>
    <w:multiLevelType w:val="multilevel"/>
    <w:tmpl w:val="3FE6A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401427"/>
    <w:multiLevelType w:val="hybridMultilevel"/>
    <w:tmpl w:val="D80C00E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4F2C0320"/>
    <w:multiLevelType w:val="hybridMultilevel"/>
    <w:tmpl w:val="492EC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BD4C8A"/>
    <w:multiLevelType w:val="hybridMultilevel"/>
    <w:tmpl w:val="E174C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2D2D27"/>
    <w:multiLevelType w:val="hybridMultilevel"/>
    <w:tmpl w:val="D6923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DE2FB4"/>
    <w:multiLevelType w:val="multilevel"/>
    <w:tmpl w:val="1904F52A"/>
    <w:lvl w:ilvl="0">
      <w:start w:val="1"/>
      <w:numFmt w:val="decimal"/>
      <w:lvlText w:val="%1."/>
      <w:lvlJc w:val="left"/>
      <w:pPr>
        <w:ind w:left="720" w:hanging="360"/>
      </w:pPr>
      <w:rPr>
        <w:rFonts w:hint="default"/>
      </w:rPr>
    </w:lvl>
    <w:lvl w:ilvl="1">
      <w:start w:val="1"/>
      <w:numFmt w:val="decimal"/>
      <w:lvlText w:val="%2."/>
      <w:lvlJc w:val="left"/>
      <w:pPr>
        <w:ind w:left="1080" w:hanging="360"/>
      </w:p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3" w15:restartNumberingAfterBreak="0">
    <w:nsid w:val="77EB4FC5"/>
    <w:multiLevelType w:val="multilevel"/>
    <w:tmpl w:val="1904F52A"/>
    <w:lvl w:ilvl="0">
      <w:start w:val="1"/>
      <w:numFmt w:val="decimal"/>
      <w:lvlText w:val="%1."/>
      <w:lvlJc w:val="left"/>
      <w:pPr>
        <w:ind w:left="720" w:hanging="360"/>
      </w:pPr>
      <w:rPr>
        <w:rFonts w:hint="default"/>
      </w:rPr>
    </w:lvl>
    <w:lvl w:ilvl="1">
      <w:start w:val="1"/>
      <w:numFmt w:val="decimal"/>
      <w:lvlText w:val="%2."/>
      <w:lvlJc w:val="left"/>
      <w:pPr>
        <w:ind w:left="1080" w:hanging="360"/>
      </w:p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4" w15:restartNumberingAfterBreak="0">
    <w:nsid w:val="7B122F2E"/>
    <w:multiLevelType w:val="multilevel"/>
    <w:tmpl w:val="5DECB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7E5231"/>
    <w:multiLevelType w:val="multilevel"/>
    <w:tmpl w:val="FD7C09A8"/>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EF6675D"/>
    <w:multiLevelType w:val="multilevel"/>
    <w:tmpl w:val="75247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460192">
    <w:abstractNumId w:val="5"/>
  </w:num>
  <w:num w:numId="2" w16cid:durableId="631908164">
    <w:abstractNumId w:val="20"/>
  </w:num>
  <w:num w:numId="3" w16cid:durableId="119299081">
    <w:abstractNumId w:val="6"/>
  </w:num>
  <w:num w:numId="4" w16cid:durableId="479537688">
    <w:abstractNumId w:val="2"/>
  </w:num>
  <w:num w:numId="5" w16cid:durableId="1692876863">
    <w:abstractNumId w:val="25"/>
  </w:num>
  <w:num w:numId="6" w16cid:durableId="1333989707">
    <w:abstractNumId w:val="7"/>
  </w:num>
  <w:num w:numId="7" w16cid:durableId="2100322623">
    <w:abstractNumId w:val="10"/>
  </w:num>
  <w:num w:numId="8" w16cid:durableId="816872434">
    <w:abstractNumId w:val="19"/>
  </w:num>
  <w:num w:numId="9" w16cid:durableId="1719087555">
    <w:abstractNumId w:val="12"/>
  </w:num>
  <w:num w:numId="10" w16cid:durableId="1341664198">
    <w:abstractNumId w:val="1"/>
  </w:num>
  <w:num w:numId="11" w16cid:durableId="1370566713">
    <w:abstractNumId w:val="13"/>
  </w:num>
  <w:num w:numId="12" w16cid:durableId="707920449">
    <w:abstractNumId w:val="8"/>
  </w:num>
  <w:num w:numId="13" w16cid:durableId="1494448652">
    <w:abstractNumId w:val="22"/>
  </w:num>
  <w:num w:numId="14" w16cid:durableId="2144227446">
    <w:abstractNumId w:val="23"/>
  </w:num>
  <w:num w:numId="15" w16cid:durableId="2055348514">
    <w:abstractNumId w:val="14"/>
  </w:num>
  <w:num w:numId="16" w16cid:durableId="1408770901">
    <w:abstractNumId w:val="17"/>
  </w:num>
  <w:num w:numId="17" w16cid:durableId="2128351669">
    <w:abstractNumId w:val="11"/>
  </w:num>
  <w:num w:numId="18" w16cid:durableId="1439177854">
    <w:abstractNumId w:val="0"/>
  </w:num>
  <w:num w:numId="19" w16cid:durableId="1390377538">
    <w:abstractNumId w:val="15"/>
  </w:num>
  <w:num w:numId="20" w16cid:durableId="2109081785">
    <w:abstractNumId w:val="26"/>
  </w:num>
  <w:num w:numId="21" w16cid:durableId="1224104089">
    <w:abstractNumId w:val="16"/>
  </w:num>
  <w:num w:numId="22" w16cid:durableId="1295601277">
    <w:abstractNumId w:val="18"/>
  </w:num>
  <w:num w:numId="23" w16cid:durableId="1794129629">
    <w:abstractNumId w:val="21"/>
  </w:num>
  <w:num w:numId="24" w16cid:durableId="1809742155">
    <w:abstractNumId w:val="3"/>
  </w:num>
  <w:num w:numId="25" w16cid:durableId="1614748670">
    <w:abstractNumId w:val="4"/>
  </w:num>
  <w:num w:numId="26" w16cid:durableId="1059062387">
    <w:abstractNumId w:val="9"/>
  </w:num>
  <w:num w:numId="27" w16cid:durableId="1346979293">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768"/>
    <w:rsid w:val="00001B3B"/>
    <w:rsid w:val="00002C67"/>
    <w:rsid w:val="00002F94"/>
    <w:rsid w:val="00004D25"/>
    <w:rsid w:val="000060D2"/>
    <w:rsid w:val="00010230"/>
    <w:rsid w:val="0001368E"/>
    <w:rsid w:val="0001520E"/>
    <w:rsid w:val="00015532"/>
    <w:rsid w:val="00016B7C"/>
    <w:rsid w:val="00024989"/>
    <w:rsid w:val="00026F1C"/>
    <w:rsid w:val="00037C15"/>
    <w:rsid w:val="00040C69"/>
    <w:rsid w:val="00040E3D"/>
    <w:rsid w:val="00042CF4"/>
    <w:rsid w:val="00042FDF"/>
    <w:rsid w:val="00043C82"/>
    <w:rsid w:val="00045227"/>
    <w:rsid w:val="00045737"/>
    <w:rsid w:val="00051206"/>
    <w:rsid w:val="00051394"/>
    <w:rsid w:val="00051D2F"/>
    <w:rsid w:val="00054C98"/>
    <w:rsid w:val="00054D03"/>
    <w:rsid w:val="00055DE5"/>
    <w:rsid w:val="00056016"/>
    <w:rsid w:val="00056053"/>
    <w:rsid w:val="00062085"/>
    <w:rsid w:val="00065665"/>
    <w:rsid w:val="00067BC6"/>
    <w:rsid w:val="00073824"/>
    <w:rsid w:val="000745AD"/>
    <w:rsid w:val="000811B0"/>
    <w:rsid w:val="00084E62"/>
    <w:rsid w:val="000920AB"/>
    <w:rsid w:val="00093C58"/>
    <w:rsid w:val="00094095"/>
    <w:rsid w:val="00094BB2"/>
    <w:rsid w:val="00096E20"/>
    <w:rsid w:val="000A2E19"/>
    <w:rsid w:val="000A4C0A"/>
    <w:rsid w:val="000A5F52"/>
    <w:rsid w:val="000B00F0"/>
    <w:rsid w:val="000B031B"/>
    <w:rsid w:val="000B1094"/>
    <w:rsid w:val="000B18A4"/>
    <w:rsid w:val="000B1912"/>
    <w:rsid w:val="000B27B2"/>
    <w:rsid w:val="000C0681"/>
    <w:rsid w:val="000C1F16"/>
    <w:rsid w:val="000C32A2"/>
    <w:rsid w:val="000C634A"/>
    <w:rsid w:val="000C730D"/>
    <w:rsid w:val="000D6FB2"/>
    <w:rsid w:val="000D72FC"/>
    <w:rsid w:val="000E254B"/>
    <w:rsid w:val="000E293D"/>
    <w:rsid w:val="000E2E4E"/>
    <w:rsid w:val="000E6839"/>
    <w:rsid w:val="000E697F"/>
    <w:rsid w:val="000F04E0"/>
    <w:rsid w:val="000F0CB0"/>
    <w:rsid w:val="000F28A1"/>
    <w:rsid w:val="000F3893"/>
    <w:rsid w:val="000F47D9"/>
    <w:rsid w:val="0010126A"/>
    <w:rsid w:val="00103180"/>
    <w:rsid w:val="00104308"/>
    <w:rsid w:val="0010483F"/>
    <w:rsid w:val="00104847"/>
    <w:rsid w:val="00111187"/>
    <w:rsid w:val="00111A7E"/>
    <w:rsid w:val="0011407A"/>
    <w:rsid w:val="001144F1"/>
    <w:rsid w:val="0011526D"/>
    <w:rsid w:val="001170B6"/>
    <w:rsid w:val="00117595"/>
    <w:rsid w:val="00120D96"/>
    <w:rsid w:val="00130873"/>
    <w:rsid w:val="0013148F"/>
    <w:rsid w:val="00131A1B"/>
    <w:rsid w:val="00133357"/>
    <w:rsid w:val="001351F3"/>
    <w:rsid w:val="001418AB"/>
    <w:rsid w:val="001433AA"/>
    <w:rsid w:val="00147A9B"/>
    <w:rsid w:val="00147FA9"/>
    <w:rsid w:val="00157169"/>
    <w:rsid w:val="00160EE6"/>
    <w:rsid w:val="001658FC"/>
    <w:rsid w:val="00166910"/>
    <w:rsid w:val="00173FB7"/>
    <w:rsid w:val="00174768"/>
    <w:rsid w:val="00175A23"/>
    <w:rsid w:val="00175B58"/>
    <w:rsid w:val="0018138C"/>
    <w:rsid w:val="00185B97"/>
    <w:rsid w:val="00187D0D"/>
    <w:rsid w:val="001915E7"/>
    <w:rsid w:val="001A3231"/>
    <w:rsid w:val="001A3C7F"/>
    <w:rsid w:val="001A64A1"/>
    <w:rsid w:val="001A7BEF"/>
    <w:rsid w:val="001B08AB"/>
    <w:rsid w:val="001B0CA7"/>
    <w:rsid w:val="001B255E"/>
    <w:rsid w:val="001B3BFD"/>
    <w:rsid w:val="001B4F59"/>
    <w:rsid w:val="001B5980"/>
    <w:rsid w:val="001B7DDC"/>
    <w:rsid w:val="001C06FA"/>
    <w:rsid w:val="001C18F1"/>
    <w:rsid w:val="001D0118"/>
    <w:rsid w:val="001D231E"/>
    <w:rsid w:val="001D3EB1"/>
    <w:rsid w:val="001D5DBE"/>
    <w:rsid w:val="001D6E65"/>
    <w:rsid w:val="001E374C"/>
    <w:rsid w:val="001E6B8E"/>
    <w:rsid w:val="001F2E20"/>
    <w:rsid w:val="001F524D"/>
    <w:rsid w:val="002002F0"/>
    <w:rsid w:val="00204790"/>
    <w:rsid w:val="002073AA"/>
    <w:rsid w:val="00212F95"/>
    <w:rsid w:val="002169C9"/>
    <w:rsid w:val="002174E3"/>
    <w:rsid w:val="002247C4"/>
    <w:rsid w:val="00233B34"/>
    <w:rsid w:val="00235878"/>
    <w:rsid w:val="002403A5"/>
    <w:rsid w:val="00243DCB"/>
    <w:rsid w:val="00246111"/>
    <w:rsid w:val="0024725E"/>
    <w:rsid w:val="00252253"/>
    <w:rsid w:val="00252E5A"/>
    <w:rsid w:val="00256652"/>
    <w:rsid w:val="00256814"/>
    <w:rsid w:val="00257D99"/>
    <w:rsid w:val="0026369A"/>
    <w:rsid w:val="00263F05"/>
    <w:rsid w:val="00264748"/>
    <w:rsid w:val="00265EFE"/>
    <w:rsid w:val="00272504"/>
    <w:rsid w:val="002754B9"/>
    <w:rsid w:val="00280639"/>
    <w:rsid w:val="00280DB1"/>
    <w:rsid w:val="002860EA"/>
    <w:rsid w:val="002869EB"/>
    <w:rsid w:val="002903B8"/>
    <w:rsid w:val="00290F65"/>
    <w:rsid w:val="002939E1"/>
    <w:rsid w:val="00296BD2"/>
    <w:rsid w:val="002A210A"/>
    <w:rsid w:val="002A72B4"/>
    <w:rsid w:val="002A730E"/>
    <w:rsid w:val="002C2C74"/>
    <w:rsid w:val="002C46B1"/>
    <w:rsid w:val="002D1E5D"/>
    <w:rsid w:val="002D2C1E"/>
    <w:rsid w:val="002D32D4"/>
    <w:rsid w:val="002D5366"/>
    <w:rsid w:val="002D5573"/>
    <w:rsid w:val="002D643D"/>
    <w:rsid w:val="002D6697"/>
    <w:rsid w:val="002E41E6"/>
    <w:rsid w:val="002E5794"/>
    <w:rsid w:val="002E7421"/>
    <w:rsid w:val="00301F71"/>
    <w:rsid w:val="003042D9"/>
    <w:rsid w:val="00311F9D"/>
    <w:rsid w:val="00314D3F"/>
    <w:rsid w:val="0032143A"/>
    <w:rsid w:val="003219BB"/>
    <w:rsid w:val="003307B0"/>
    <w:rsid w:val="00334F6D"/>
    <w:rsid w:val="00336931"/>
    <w:rsid w:val="00341844"/>
    <w:rsid w:val="00344574"/>
    <w:rsid w:val="0034495A"/>
    <w:rsid w:val="00352B4F"/>
    <w:rsid w:val="003534EE"/>
    <w:rsid w:val="00355A4A"/>
    <w:rsid w:val="00360135"/>
    <w:rsid w:val="00361D10"/>
    <w:rsid w:val="0036377F"/>
    <w:rsid w:val="00365AE3"/>
    <w:rsid w:val="00367D78"/>
    <w:rsid w:val="003716C3"/>
    <w:rsid w:val="003740F3"/>
    <w:rsid w:val="0038702D"/>
    <w:rsid w:val="003870E5"/>
    <w:rsid w:val="00387C44"/>
    <w:rsid w:val="00390C05"/>
    <w:rsid w:val="00394636"/>
    <w:rsid w:val="00396FA2"/>
    <w:rsid w:val="003A25A0"/>
    <w:rsid w:val="003A6BC7"/>
    <w:rsid w:val="003B2A1F"/>
    <w:rsid w:val="003B4815"/>
    <w:rsid w:val="003B6BC8"/>
    <w:rsid w:val="003B772C"/>
    <w:rsid w:val="003B7BDD"/>
    <w:rsid w:val="003C3556"/>
    <w:rsid w:val="003D015D"/>
    <w:rsid w:val="003D0547"/>
    <w:rsid w:val="003D714E"/>
    <w:rsid w:val="003E3324"/>
    <w:rsid w:val="003E4C8E"/>
    <w:rsid w:val="003E58EC"/>
    <w:rsid w:val="003E7C71"/>
    <w:rsid w:val="003F1EB0"/>
    <w:rsid w:val="003F4200"/>
    <w:rsid w:val="003F53C3"/>
    <w:rsid w:val="00400D1D"/>
    <w:rsid w:val="0040319E"/>
    <w:rsid w:val="00405BE0"/>
    <w:rsid w:val="004060E2"/>
    <w:rsid w:val="00410021"/>
    <w:rsid w:val="00412197"/>
    <w:rsid w:val="004144EB"/>
    <w:rsid w:val="0041692E"/>
    <w:rsid w:val="00416D15"/>
    <w:rsid w:val="00424DB6"/>
    <w:rsid w:val="00426299"/>
    <w:rsid w:val="00426803"/>
    <w:rsid w:val="00430AE6"/>
    <w:rsid w:val="00431E50"/>
    <w:rsid w:val="00436E5E"/>
    <w:rsid w:val="00440947"/>
    <w:rsid w:val="00444BF7"/>
    <w:rsid w:val="00445C44"/>
    <w:rsid w:val="00446081"/>
    <w:rsid w:val="004624B2"/>
    <w:rsid w:val="0046276B"/>
    <w:rsid w:val="00462B55"/>
    <w:rsid w:val="00463895"/>
    <w:rsid w:val="004649D8"/>
    <w:rsid w:val="00467374"/>
    <w:rsid w:val="00467989"/>
    <w:rsid w:val="00471756"/>
    <w:rsid w:val="00472A18"/>
    <w:rsid w:val="00477094"/>
    <w:rsid w:val="00480FCD"/>
    <w:rsid w:val="004860DD"/>
    <w:rsid w:val="00487A42"/>
    <w:rsid w:val="004919D8"/>
    <w:rsid w:val="00491B67"/>
    <w:rsid w:val="004A0347"/>
    <w:rsid w:val="004A04C2"/>
    <w:rsid w:val="004A0F6A"/>
    <w:rsid w:val="004A4F5B"/>
    <w:rsid w:val="004B0FE7"/>
    <w:rsid w:val="004B1A1E"/>
    <w:rsid w:val="004C1301"/>
    <w:rsid w:val="004C279A"/>
    <w:rsid w:val="004C634C"/>
    <w:rsid w:val="004C7CDA"/>
    <w:rsid w:val="004D1417"/>
    <w:rsid w:val="004D2F7E"/>
    <w:rsid w:val="004E0CCF"/>
    <w:rsid w:val="004E2173"/>
    <w:rsid w:val="004E26F6"/>
    <w:rsid w:val="004F5F32"/>
    <w:rsid w:val="004F6970"/>
    <w:rsid w:val="004F731B"/>
    <w:rsid w:val="00500352"/>
    <w:rsid w:val="00500632"/>
    <w:rsid w:val="00500E4C"/>
    <w:rsid w:val="00500EF2"/>
    <w:rsid w:val="005072C2"/>
    <w:rsid w:val="005149BC"/>
    <w:rsid w:val="005173EC"/>
    <w:rsid w:val="005209F7"/>
    <w:rsid w:val="00522020"/>
    <w:rsid w:val="005223F0"/>
    <w:rsid w:val="005256BA"/>
    <w:rsid w:val="00527599"/>
    <w:rsid w:val="00532B86"/>
    <w:rsid w:val="00532D19"/>
    <w:rsid w:val="00535120"/>
    <w:rsid w:val="0053568D"/>
    <w:rsid w:val="00535752"/>
    <w:rsid w:val="00537635"/>
    <w:rsid w:val="005379BA"/>
    <w:rsid w:val="005403DC"/>
    <w:rsid w:val="0054120E"/>
    <w:rsid w:val="00543F28"/>
    <w:rsid w:val="00544C3F"/>
    <w:rsid w:val="00544E7F"/>
    <w:rsid w:val="00552F22"/>
    <w:rsid w:val="00557FDC"/>
    <w:rsid w:val="00561757"/>
    <w:rsid w:val="00561D56"/>
    <w:rsid w:val="005650B4"/>
    <w:rsid w:val="00567D71"/>
    <w:rsid w:val="00570450"/>
    <w:rsid w:val="0057065C"/>
    <w:rsid w:val="005715BF"/>
    <w:rsid w:val="00577E28"/>
    <w:rsid w:val="00586B33"/>
    <w:rsid w:val="005946AA"/>
    <w:rsid w:val="005949AB"/>
    <w:rsid w:val="00596374"/>
    <w:rsid w:val="005964DD"/>
    <w:rsid w:val="005A1325"/>
    <w:rsid w:val="005A60C3"/>
    <w:rsid w:val="005B65F8"/>
    <w:rsid w:val="005B76AE"/>
    <w:rsid w:val="005C5B07"/>
    <w:rsid w:val="005D59DA"/>
    <w:rsid w:val="005D6178"/>
    <w:rsid w:val="005E219B"/>
    <w:rsid w:val="005E318A"/>
    <w:rsid w:val="005E337F"/>
    <w:rsid w:val="005E40F9"/>
    <w:rsid w:val="005E4190"/>
    <w:rsid w:val="005E5BD2"/>
    <w:rsid w:val="005E5FC2"/>
    <w:rsid w:val="005E761E"/>
    <w:rsid w:val="005F35A3"/>
    <w:rsid w:val="006012A8"/>
    <w:rsid w:val="00604795"/>
    <w:rsid w:val="00605FE6"/>
    <w:rsid w:val="00607BC8"/>
    <w:rsid w:val="00617C83"/>
    <w:rsid w:val="00621C8D"/>
    <w:rsid w:val="00624439"/>
    <w:rsid w:val="00630F68"/>
    <w:rsid w:val="00635023"/>
    <w:rsid w:val="00636196"/>
    <w:rsid w:val="00636522"/>
    <w:rsid w:val="006420DD"/>
    <w:rsid w:val="00645B23"/>
    <w:rsid w:val="00647265"/>
    <w:rsid w:val="00647605"/>
    <w:rsid w:val="00650F98"/>
    <w:rsid w:val="006640A9"/>
    <w:rsid w:val="00665179"/>
    <w:rsid w:val="00666DBA"/>
    <w:rsid w:val="00672425"/>
    <w:rsid w:val="006746C3"/>
    <w:rsid w:val="00675355"/>
    <w:rsid w:val="00677024"/>
    <w:rsid w:val="006772CB"/>
    <w:rsid w:val="0067746D"/>
    <w:rsid w:val="006807A7"/>
    <w:rsid w:val="00684B8F"/>
    <w:rsid w:val="00685595"/>
    <w:rsid w:val="00685CEB"/>
    <w:rsid w:val="00686102"/>
    <w:rsid w:val="006916BF"/>
    <w:rsid w:val="00694058"/>
    <w:rsid w:val="006A199D"/>
    <w:rsid w:val="006A2983"/>
    <w:rsid w:val="006A2BFD"/>
    <w:rsid w:val="006A5216"/>
    <w:rsid w:val="006A56BA"/>
    <w:rsid w:val="006A5A71"/>
    <w:rsid w:val="006B0E55"/>
    <w:rsid w:val="006B344A"/>
    <w:rsid w:val="006B3DD2"/>
    <w:rsid w:val="006C4DF3"/>
    <w:rsid w:val="006C6D80"/>
    <w:rsid w:val="006D6C2F"/>
    <w:rsid w:val="006D6F58"/>
    <w:rsid w:val="006D6FAC"/>
    <w:rsid w:val="006D76C7"/>
    <w:rsid w:val="006E089D"/>
    <w:rsid w:val="006E1F1D"/>
    <w:rsid w:val="006E2D85"/>
    <w:rsid w:val="006E610B"/>
    <w:rsid w:val="006F16DD"/>
    <w:rsid w:val="00700ECF"/>
    <w:rsid w:val="007069E1"/>
    <w:rsid w:val="00711944"/>
    <w:rsid w:val="00711C6D"/>
    <w:rsid w:val="007120E8"/>
    <w:rsid w:val="00712F2F"/>
    <w:rsid w:val="00714BB4"/>
    <w:rsid w:val="00717DA6"/>
    <w:rsid w:val="007214EA"/>
    <w:rsid w:val="00731133"/>
    <w:rsid w:val="007441CB"/>
    <w:rsid w:val="0075229D"/>
    <w:rsid w:val="0075275F"/>
    <w:rsid w:val="00753A8A"/>
    <w:rsid w:val="00757771"/>
    <w:rsid w:val="00757A65"/>
    <w:rsid w:val="007604AF"/>
    <w:rsid w:val="00761CE8"/>
    <w:rsid w:val="00763D66"/>
    <w:rsid w:val="00765018"/>
    <w:rsid w:val="007652A9"/>
    <w:rsid w:val="007667E0"/>
    <w:rsid w:val="00771CAA"/>
    <w:rsid w:val="00771E81"/>
    <w:rsid w:val="00773A3A"/>
    <w:rsid w:val="00780059"/>
    <w:rsid w:val="007809AB"/>
    <w:rsid w:val="007851B6"/>
    <w:rsid w:val="0078642F"/>
    <w:rsid w:val="0079100A"/>
    <w:rsid w:val="007913B8"/>
    <w:rsid w:val="007917E5"/>
    <w:rsid w:val="00793449"/>
    <w:rsid w:val="00795367"/>
    <w:rsid w:val="007A0190"/>
    <w:rsid w:val="007A283D"/>
    <w:rsid w:val="007A2C01"/>
    <w:rsid w:val="007A40ED"/>
    <w:rsid w:val="007A4DF2"/>
    <w:rsid w:val="007A6B17"/>
    <w:rsid w:val="007B05DD"/>
    <w:rsid w:val="007B13EA"/>
    <w:rsid w:val="007B4AEB"/>
    <w:rsid w:val="007B4CC0"/>
    <w:rsid w:val="007B4CE5"/>
    <w:rsid w:val="007B57FE"/>
    <w:rsid w:val="007C1C70"/>
    <w:rsid w:val="007C2122"/>
    <w:rsid w:val="007C2BB5"/>
    <w:rsid w:val="007D1403"/>
    <w:rsid w:val="007D1B20"/>
    <w:rsid w:val="007D2ED1"/>
    <w:rsid w:val="007D336C"/>
    <w:rsid w:val="007D49C9"/>
    <w:rsid w:val="007D7B1E"/>
    <w:rsid w:val="007E0254"/>
    <w:rsid w:val="007E10A0"/>
    <w:rsid w:val="007E1810"/>
    <w:rsid w:val="007E19C9"/>
    <w:rsid w:val="007E2685"/>
    <w:rsid w:val="007E3088"/>
    <w:rsid w:val="007E6D4B"/>
    <w:rsid w:val="007F2BAE"/>
    <w:rsid w:val="007F59B7"/>
    <w:rsid w:val="007F5DCF"/>
    <w:rsid w:val="007F7179"/>
    <w:rsid w:val="007F7485"/>
    <w:rsid w:val="00800292"/>
    <w:rsid w:val="00810507"/>
    <w:rsid w:val="008172A3"/>
    <w:rsid w:val="00822833"/>
    <w:rsid w:val="0082377A"/>
    <w:rsid w:val="00827EA2"/>
    <w:rsid w:val="00832A6E"/>
    <w:rsid w:val="00833183"/>
    <w:rsid w:val="00834342"/>
    <w:rsid w:val="00835A0E"/>
    <w:rsid w:val="00850726"/>
    <w:rsid w:val="0085156B"/>
    <w:rsid w:val="00852A19"/>
    <w:rsid w:val="00854580"/>
    <w:rsid w:val="00861150"/>
    <w:rsid w:val="008612CC"/>
    <w:rsid w:val="00863FF8"/>
    <w:rsid w:val="008646E5"/>
    <w:rsid w:val="00870333"/>
    <w:rsid w:val="00871682"/>
    <w:rsid w:val="008718C9"/>
    <w:rsid w:val="00874064"/>
    <w:rsid w:val="00876CFB"/>
    <w:rsid w:val="00877CF0"/>
    <w:rsid w:val="0088034D"/>
    <w:rsid w:val="0088434A"/>
    <w:rsid w:val="0088491A"/>
    <w:rsid w:val="008902C8"/>
    <w:rsid w:val="00893860"/>
    <w:rsid w:val="00893E2A"/>
    <w:rsid w:val="00895A2B"/>
    <w:rsid w:val="008A06DB"/>
    <w:rsid w:val="008A0F3F"/>
    <w:rsid w:val="008A2857"/>
    <w:rsid w:val="008A4BC7"/>
    <w:rsid w:val="008A5A91"/>
    <w:rsid w:val="008B0D07"/>
    <w:rsid w:val="008B17A0"/>
    <w:rsid w:val="008C0365"/>
    <w:rsid w:val="008C1FF3"/>
    <w:rsid w:val="008D2A10"/>
    <w:rsid w:val="008D4428"/>
    <w:rsid w:val="008D49BC"/>
    <w:rsid w:val="008E74D3"/>
    <w:rsid w:val="008E7A49"/>
    <w:rsid w:val="008F5317"/>
    <w:rsid w:val="008F7BDB"/>
    <w:rsid w:val="009017DC"/>
    <w:rsid w:val="00906433"/>
    <w:rsid w:val="00910A48"/>
    <w:rsid w:val="00911867"/>
    <w:rsid w:val="00912CC0"/>
    <w:rsid w:val="00913D83"/>
    <w:rsid w:val="00916602"/>
    <w:rsid w:val="00917934"/>
    <w:rsid w:val="00920004"/>
    <w:rsid w:val="009206D8"/>
    <w:rsid w:val="00927960"/>
    <w:rsid w:val="00934AB5"/>
    <w:rsid w:val="00935D11"/>
    <w:rsid w:val="00937C6F"/>
    <w:rsid w:val="009420D1"/>
    <w:rsid w:val="00942E6A"/>
    <w:rsid w:val="00943F8F"/>
    <w:rsid w:val="00944A4E"/>
    <w:rsid w:val="00945DC3"/>
    <w:rsid w:val="00946436"/>
    <w:rsid w:val="00953B13"/>
    <w:rsid w:val="0095676A"/>
    <w:rsid w:val="00956F74"/>
    <w:rsid w:val="00961DF1"/>
    <w:rsid w:val="00962F97"/>
    <w:rsid w:val="00964C2C"/>
    <w:rsid w:val="00966F51"/>
    <w:rsid w:val="009733C7"/>
    <w:rsid w:val="00975113"/>
    <w:rsid w:val="0097627C"/>
    <w:rsid w:val="009779B6"/>
    <w:rsid w:val="009850F8"/>
    <w:rsid w:val="009853F3"/>
    <w:rsid w:val="00987333"/>
    <w:rsid w:val="009920F8"/>
    <w:rsid w:val="00996DEE"/>
    <w:rsid w:val="009A07A1"/>
    <w:rsid w:val="009A4B86"/>
    <w:rsid w:val="009A6A2C"/>
    <w:rsid w:val="009A7187"/>
    <w:rsid w:val="009A77B5"/>
    <w:rsid w:val="009B029E"/>
    <w:rsid w:val="009B35B9"/>
    <w:rsid w:val="009B3E80"/>
    <w:rsid w:val="009B6188"/>
    <w:rsid w:val="009B6A72"/>
    <w:rsid w:val="009C2661"/>
    <w:rsid w:val="009C26F3"/>
    <w:rsid w:val="009C418E"/>
    <w:rsid w:val="009C465F"/>
    <w:rsid w:val="009C4A9E"/>
    <w:rsid w:val="009D0F2F"/>
    <w:rsid w:val="009D12EA"/>
    <w:rsid w:val="009D160F"/>
    <w:rsid w:val="009D2EDC"/>
    <w:rsid w:val="009D3671"/>
    <w:rsid w:val="009E10CC"/>
    <w:rsid w:val="009E16C1"/>
    <w:rsid w:val="009E22E6"/>
    <w:rsid w:val="009E4B97"/>
    <w:rsid w:val="009E5061"/>
    <w:rsid w:val="009F257C"/>
    <w:rsid w:val="009F358E"/>
    <w:rsid w:val="009F3C83"/>
    <w:rsid w:val="009F4259"/>
    <w:rsid w:val="009F4451"/>
    <w:rsid w:val="009F72E1"/>
    <w:rsid w:val="00A03110"/>
    <w:rsid w:val="00A03B13"/>
    <w:rsid w:val="00A06DF8"/>
    <w:rsid w:val="00A134B6"/>
    <w:rsid w:val="00A15553"/>
    <w:rsid w:val="00A2486E"/>
    <w:rsid w:val="00A24BB7"/>
    <w:rsid w:val="00A26AFB"/>
    <w:rsid w:val="00A26CCF"/>
    <w:rsid w:val="00A306FD"/>
    <w:rsid w:val="00A32CA2"/>
    <w:rsid w:val="00A361F5"/>
    <w:rsid w:val="00A373B3"/>
    <w:rsid w:val="00A41ABB"/>
    <w:rsid w:val="00A42C0F"/>
    <w:rsid w:val="00A43CAC"/>
    <w:rsid w:val="00A46D3F"/>
    <w:rsid w:val="00A536E8"/>
    <w:rsid w:val="00A60D36"/>
    <w:rsid w:val="00A6122F"/>
    <w:rsid w:val="00A6168F"/>
    <w:rsid w:val="00A65DF5"/>
    <w:rsid w:val="00A65E98"/>
    <w:rsid w:val="00A6739D"/>
    <w:rsid w:val="00A7371F"/>
    <w:rsid w:val="00A748F2"/>
    <w:rsid w:val="00A75667"/>
    <w:rsid w:val="00A7695E"/>
    <w:rsid w:val="00A81E72"/>
    <w:rsid w:val="00A84707"/>
    <w:rsid w:val="00A8533D"/>
    <w:rsid w:val="00A86BA7"/>
    <w:rsid w:val="00A874A2"/>
    <w:rsid w:val="00A90EC2"/>
    <w:rsid w:val="00A91732"/>
    <w:rsid w:val="00A93787"/>
    <w:rsid w:val="00A9383E"/>
    <w:rsid w:val="00AA04B2"/>
    <w:rsid w:val="00AA486F"/>
    <w:rsid w:val="00AA68DD"/>
    <w:rsid w:val="00AB2ACB"/>
    <w:rsid w:val="00AB34BF"/>
    <w:rsid w:val="00AB3A43"/>
    <w:rsid w:val="00AB57AD"/>
    <w:rsid w:val="00AC48A9"/>
    <w:rsid w:val="00AD3209"/>
    <w:rsid w:val="00AD3308"/>
    <w:rsid w:val="00AD4BD3"/>
    <w:rsid w:val="00AD4F64"/>
    <w:rsid w:val="00AD5CF7"/>
    <w:rsid w:val="00AD68C2"/>
    <w:rsid w:val="00AE1460"/>
    <w:rsid w:val="00AE1F63"/>
    <w:rsid w:val="00AE2080"/>
    <w:rsid w:val="00AE28A9"/>
    <w:rsid w:val="00AE6B29"/>
    <w:rsid w:val="00AE718F"/>
    <w:rsid w:val="00AF0252"/>
    <w:rsid w:val="00AF0346"/>
    <w:rsid w:val="00AF4721"/>
    <w:rsid w:val="00AF4AD3"/>
    <w:rsid w:val="00AF7CCF"/>
    <w:rsid w:val="00AF7D26"/>
    <w:rsid w:val="00B001DF"/>
    <w:rsid w:val="00B00A9A"/>
    <w:rsid w:val="00B01B82"/>
    <w:rsid w:val="00B04E44"/>
    <w:rsid w:val="00B069FE"/>
    <w:rsid w:val="00B11596"/>
    <w:rsid w:val="00B17D0D"/>
    <w:rsid w:val="00B2074F"/>
    <w:rsid w:val="00B21AD3"/>
    <w:rsid w:val="00B21D0E"/>
    <w:rsid w:val="00B248AE"/>
    <w:rsid w:val="00B258A1"/>
    <w:rsid w:val="00B30EAC"/>
    <w:rsid w:val="00B3193E"/>
    <w:rsid w:val="00B339D6"/>
    <w:rsid w:val="00B410D1"/>
    <w:rsid w:val="00B4328D"/>
    <w:rsid w:val="00B43742"/>
    <w:rsid w:val="00B46C89"/>
    <w:rsid w:val="00B50239"/>
    <w:rsid w:val="00B52D7E"/>
    <w:rsid w:val="00B55F0C"/>
    <w:rsid w:val="00B56F05"/>
    <w:rsid w:val="00B578D0"/>
    <w:rsid w:val="00B60804"/>
    <w:rsid w:val="00B72B57"/>
    <w:rsid w:val="00B76C4F"/>
    <w:rsid w:val="00B76ED5"/>
    <w:rsid w:val="00B81B36"/>
    <w:rsid w:val="00B82EAC"/>
    <w:rsid w:val="00BA28AA"/>
    <w:rsid w:val="00BA29A3"/>
    <w:rsid w:val="00BA5A64"/>
    <w:rsid w:val="00BA6A70"/>
    <w:rsid w:val="00BB0DC6"/>
    <w:rsid w:val="00BB4856"/>
    <w:rsid w:val="00BB49CF"/>
    <w:rsid w:val="00BC0E89"/>
    <w:rsid w:val="00BC100B"/>
    <w:rsid w:val="00BC2826"/>
    <w:rsid w:val="00BC3CFF"/>
    <w:rsid w:val="00BC7BEC"/>
    <w:rsid w:val="00BD239E"/>
    <w:rsid w:val="00BD3871"/>
    <w:rsid w:val="00BD5031"/>
    <w:rsid w:val="00BD68A1"/>
    <w:rsid w:val="00BD70D6"/>
    <w:rsid w:val="00BE18CB"/>
    <w:rsid w:val="00BE2029"/>
    <w:rsid w:val="00BE3D8C"/>
    <w:rsid w:val="00BE7D1B"/>
    <w:rsid w:val="00BF05ED"/>
    <w:rsid w:val="00BF3899"/>
    <w:rsid w:val="00BF47E8"/>
    <w:rsid w:val="00BF70B2"/>
    <w:rsid w:val="00C00776"/>
    <w:rsid w:val="00C02E1A"/>
    <w:rsid w:val="00C030F0"/>
    <w:rsid w:val="00C03A38"/>
    <w:rsid w:val="00C07BF7"/>
    <w:rsid w:val="00C11044"/>
    <w:rsid w:val="00C13787"/>
    <w:rsid w:val="00C17DF9"/>
    <w:rsid w:val="00C20A41"/>
    <w:rsid w:val="00C22B15"/>
    <w:rsid w:val="00C25C8A"/>
    <w:rsid w:val="00C26550"/>
    <w:rsid w:val="00C32D77"/>
    <w:rsid w:val="00C34B12"/>
    <w:rsid w:val="00C37295"/>
    <w:rsid w:val="00C42602"/>
    <w:rsid w:val="00C4377B"/>
    <w:rsid w:val="00C45438"/>
    <w:rsid w:val="00C54CB7"/>
    <w:rsid w:val="00C615A4"/>
    <w:rsid w:val="00C650F8"/>
    <w:rsid w:val="00C71532"/>
    <w:rsid w:val="00C71768"/>
    <w:rsid w:val="00C731CE"/>
    <w:rsid w:val="00C74CDC"/>
    <w:rsid w:val="00C804D8"/>
    <w:rsid w:val="00C87661"/>
    <w:rsid w:val="00C9045D"/>
    <w:rsid w:val="00C918C1"/>
    <w:rsid w:val="00C92AB1"/>
    <w:rsid w:val="00C944E9"/>
    <w:rsid w:val="00C96EF5"/>
    <w:rsid w:val="00CA0EF1"/>
    <w:rsid w:val="00CA2EDB"/>
    <w:rsid w:val="00CA3290"/>
    <w:rsid w:val="00CA3817"/>
    <w:rsid w:val="00CA6C36"/>
    <w:rsid w:val="00CA7D44"/>
    <w:rsid w:val="00CB63A7"/>
    <w:rsid w:val="00CB7B3C"/>
    <w:rsid w:val="00CC05C6"/>
    <w:rsid w:val="00CC182A"/>
    <w:rsid w:val="00CD20F5"/>
    <w:rsid w:val="00CD3173"/>
    <w:rsid w:val="00CD380A"/>
    <w:rsid w:val="00CD46C7"/>
    <w:rsid w:val="00CE0185"/>
    <w:rsid w:val="00CE3A09"/>
    <w:rsid w:val="00CE4FA1"/>
    <w:rsid w:val="00CE504A"/>
    <w:rsid w:val="00CE69C4"/>
    <w:rsid w:val="00CE6C5F"/>
    <w:rsid w:val="00CF2352"/>
    <w:rsid w:val="00CF309C"/>
    <w:rsid w:val="00CF444A"/>
    <w:rsid w:val="00CF716A"/>
    <w:rsid w:val="00D01736"/>
    <w:rsid w:val="00D06127"/>
    <w:rsid w:val="00D105FB"/>
    <w:rsid w:val="00D134F1"/>
    <w:rsid w:val="00D145EA"/>
    <w:rsid w:val="00D1748D"/>
    <w:rsid w:val="00D207A5"/>
    <w:rsid w:val="00D22345"/>
    <w:rsid w:val="00D257C0"/>
    <w:rsid w:val="00D25A1D"/>
    <w:rsid w:val="00D25B5A"/>
    <w:rsid w:val="00D27604"/>
    <w:rsid w:val="00D31DCD"/>
    <w:rsid w:val="00D3221A"/>
    <w:rsid w:val="00D33450"/>
    <w:rsid w:val="00D44A09"/>
    <w:rsid w:val="00D47205"/>
    <w:rsid w:val="00D479CB"/>
    <w:rsid w:val="00D47A99"/>
    <w:rsid w:val="00D514F4"/>
    <w:rsid w:val="00D5352D"/>
    <w:rsid w:val="00D53E1C"/>
    <w:rsid w:val="00D571AA"/>
    <w:rsid w:val="00D60A67"/>
    <w:rsid w:val="00D6433F"/>
    <w:rsid w:val="00D64782"/>
    <w:rsid w:val="00D659C4"/>
    <w:rsid w:val="00D66E4C"/>
    <w:rsid w:val="00D71F65"/>
    <w:rsid w:val="00D720F9"/>
    <w:rsid w:val="00D733BA"/>
    <w:rsid w:val="00D73C01"/>
    <w:rsid w:val="00D75204"/>
    <w:rsid w:val="00D76A5E"/>
    <w:rsid w:val="00D772FA"/>
    <w:rsid w:val="00D83F4C"/>
    <w:rsid w:val="00D84743"/>
    <w:rsid w:val="00D8677D"/>
    <w:rsid w:val="00D870F7"/>
    <w:rsid w:val="00D90B5E"/>
    <w:rsid w:val="00D94AB5"/>
    <w:rsid w:val="00D94B9C"/>
    <w:rsid w:val="00D96979"/>
    <w:rsid w:val="00DA2AC4"/>
    <w:rsid w:val="00DA43D5"/>
    <w:rsid w:val="00DA5EEE"/>
    <w:rsid w:val="00DB26B4"/>
    <w:rsid w:val="00DB4B8D"/>
    <w:rsid w:val="00DB6703"/>
    <w:rsid w:val="00DB6B2B"/>
    <w:rsid w:val="00DB7D3A"/>
    <w:rsid w:val="00DC0DEA"/>
    <w:rsid w:val="00DC2989"/>
    <w:rsid w:val="00DC4FA6"/>
    <w:rsid w:val="00DC5FE5"/>
    <w:rsid w:val="00DC6542"/>
    <w:rsid w:val="00DD2B9E"/>
    <w:rsid w:val="00DD646C"/>
    <w:rsid w:val="00DE771C"/>
    <w:rsid w:val="00DF2268"/>
    <w:rsid w:val="00DF3D92"/>
    <w:rsid w:val="00DF6EDC"/>
    <w:rsid w:val="00E01A03"/>
    <w:rsid w:val="00E02630"/>
    <w:rsid w:val="00E03AA4"/>
    <w:rsid w:val="00E07027"/>
    <w:rsid w:val="00E1220C"/>
    <w:rsid w:val="00E173B4"/>
    <w:rsid w:val="00E17932"/>
    <w:rsid w:val="00E23036"/>
    <w:rsid w:val="00E25DFD"/>
    <w:rsid w:val="00E26FBF"/>
    <w:rsid w:val="00E3241F"/>
    <w:rsid w:val="00E45210"/>
    <w:rsid w:val="00E45AD9"/>
    <w:rsid w:val="00E500C9"/>
    <w:rsid w:val="00E50EFD"/>
    <w:rsid w:val="00E540FD"/>
    <w:rsid w:val="00E56384"/>
    <w:rsid w:val="00E5755C"/>
    <w:rsid w:val="00E63B27"/>
    <w:rsid w:val="00E67371"/>
    <w:rsid w:val="00E72E62"/>
    <w:rsid w:val="00E73DDF"/>
    <w:rsid w:val="00E74F2B"/>
    <w:rsid w:val="00E761BB"/>
    <w:rsid w:val="00E80AD3"/>
    <w:rsid w:val="00E83E9C"/>
    <w:rsid w:val="00E85C01"/>
    <w:rsid w:val="00E86F7D"/>
    <w:rsid w:val="00E91202"/>
    <w:rsid w:val="00E92E3B"/>
    <w:rsid w:val="00E95EDE"/>
    <w:rsid w:val="00E96DDB"/>
    <w:rsid w:val="00EA0F5C"/>
    <w:rsid w:val="00EA45E9"/>
    <w:rsid w:val="00EB0E3A"/>
    <w:rsid w:val="00EB2D7B"/>
    <w:rsid w:val="00EB32B9"/>
    <w:rsid w:val="00EB4562"/>
    <w:rsid w:val="00EC1FFF"/>
    <w:rsid w:val="00EC2790"/>
    <w:rsid w:val="00EC29DB"/>
    <w:rsid w:val="00EC4379"/>
    <w:rsid w:val="00ED121E"/>
    <w:rsid w:val="00ED49C2"/>
    <w:rsid w:val="00EF45ED"/>
    <w:rsid w:val="00F142AD"/>
    <w:rsid w:val="00F1560E"/>
    <w:rsid w:val="00F179E4"/>
    <w:rsid w:val="00F25151"/>
    <w:rsid w:val="00F3145E"/>
    <w:rsid w:val="00F4022D"/>
    <w:rsid w:val="00F41C02"/>
    <w:rsid w:val="00F4264B"/>
    <w:rsid w:val="00F43B16"/>
    <w:rsid w:val="00F47357"/>
    <w:rsid w:val="00F50E6C"/>
    <w:rsid w:val="00F5292A"/>
    <w:rsid w:val="00F53157"/>
    <w:rsid w:val="00F53682"/>
    <w:rsid w:val="00F569B9"/>
    <w:rsid w:val="00F575A1"/>
    <w:rsid w:val="00F61EAD"/>
    <w:rsid w:val="00F6291D"/>
    <w:rsid w:val="00F670D4"/>
    <w:rsid w:val="00F7152E"/>
    <w:rsid w:val="00F77D32"/>
    <w:rsid w:val="00F828D5"/>
    <w:rsid w:val="00F8454C"/>
    <w:rsid w:val="00F84DF4"/>
    <w:rsid w:val="00F92F3E"/>
    <w:rsid w:val="00F9529D"/>
    <w:rsid w:val="00F96044"/>
    <w:rsid w:val="00F97F07"/>
    <w:rsid w:val="00FA1CEB"/>
    <w:rsid w:val="00FA42C7"/>
    <w:rsid w:val="00FA4B12"/>
    <w:rsid w:val="00FA4D46"/>
    <w:rsid w:val="00FB0659"/>
    <w:rsid w:val="00FB0F02"/>
    <w:rsid w:val="00FB1D46"/>
    <w:rsid w:val="00FB3E18"/>
    <w:rsid w:val="00FB4FAB"/>
    <w:rsid w:val="00FB69F1"/>
    <w:rsid w:val="00FC070C"/>
    <w:rsid w:val="00FC3411"/>
    <w:rsid w:val="00FC554F"/>
    <w:rsid w:val="00FD1DCC"/>
    <w:rsid w:val="00FD210B"/>
    <w:rsid w:val="00FD4A58"/>
    <w:rsid w:val="00FE3F40"/>
    <w:rsid w:val="00FE40F1"/>
    <w:rsid w:val="00FE4259"/>
    <w:rsid w:val="00FE64AD"/>
    <w:rsid w:val="00FF0533"/>
    <w:rsid w:val="00FF083B"/>
    <w:rsid w:val="00FF2DD1"/>
    <w:rsid w:val="00FF37FF"/>
    <w:rsid w:val="00FF3D9D"/>
    <w:rsid w:val="00FF7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2858486"/>
  <w15:docId w15:val="{013A24E4-01A1-409C-9AE7-56D602B4B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8DD"/>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1844"/>
    <w:rPr>
      <w:rFonts w:ascii="Tahoma" w:hAnsi="Tahoma" w:cs="Tahoma"/>
      <w:sz w:val="16"/>
      <w:szCs w:val="16"/>
    </w:rPr>
  </w:style>
  <w:style w:type="character" w:customStyle="1" w:styleId="BalloonTextChar">
    <w:name w:val="Balloon Text Char"/>
    <w:basedOn w:val="DefaultParagraphFont"/>
    <w:link w:val="BalloonText"/>
    <w:uiPriority w:val="99"/>
    <w:semiHidden/>
    <w:rsid w:val="00341844"/>
    <w:rPr>
      <w:rFonts w:ascii="Tahoma" w:hAnsi="Tahoma" w:cs="Tahoma"/>
      <w:sz w:val="16"/>
      <w:szCs w:val="16"/>
      <w:lang w:val="en-GB" w:eastAsia="en-US"/>
    </w:rPr>
  </w:style>
  <w:style w:type="paragraph" w:styleId="FootnoteText">
    <w:name w:val="footnote text"/>
    <w:basedOn w:val="Normal"/>
    <w:link w:val="FootnoteTextChar"/>
    <w:uiPriority w:val="99"/>
    <w:semiHidden/>
    <w:unhideWhenUsed/>
    <w:rsid w:val="001D0118"/>
    <w:rPr>
      <w:sz w:val="20"/>
      <w:szCs w:val="20"/>
    </w:rPr>
  </w:style>
  <w:style w:type="character" w:customStyle="1" w:styleId="FootnoteTextChar">
    <w:name w:val="Footnote Text Char"/>
    <w:basedOn w:val="DefaultParagraphFont"/>
    <w:link w:val="FootnoteText"/>
    <w:uiPriority w:val="99"/>
    <w:semiHidden/>
    <w:rsid w:val="001D0118"/>
    <w:rPr>
      <w:lang w:val="en-GB" w:eastAsia="en-US"/>
    </w:rPr>
  </w:style>
  <w:style w:type="character" w:styleId="FootnoteReference">
    <w:name w:val="footnote reference"/>
    <w:basedOn w:val="DefaultParagraphFont"/>
    <w:uiPriority w:val="99"/>
    <w:semiHidden/>
    <w:unhideWhenUsed/>
    <w:rsid w:val="001D0118"/>
    <w:rPr>
      <w:vertAlign w:val="superscript"/>
    </w:rPr>
  </w:style>
  <w:style w:type="paragraph" w:styleId="ListParagraph">
    <w:name w:val="List Paragraph"/>
    <w:basedOn w:val="Normal"/>
    <w:uiPriority w:val="34"/>
    <w:qFormat/>
    <w:rsid w:val="000E254B"/>
    <w:pPr>
      <w:ind w:left="720"/>
      <w:contextualSpacing/>
    </w:pPr>
  </w:style>
  <w:style w:type="character" w:styleId="Hyperlink">
    <w:name w:val="Hyperlink"/>
    <w:basedOn w:val="DefaultParagraphFont"/>
    <w:uiPriority w:val="99"/>
    <w:unhideWhenUsed/>
    <w:rsid w:val="003F4200"/>
    <w:rPr>
      <w:color w:val="0000FF" w:themeColor="hyperlink"/>
      <w:u w:val="single"/>
    </w:rPr>
  </w:style>
  <w:style w:type="paragraph" w:styleId="NormalWeb">
    <w:name w:val="Normal (Web)"/>
    <w:basedOn w:val="Normal"/>
    <w:uiPriority w:val="99"/>
    <w:unhideWhenUsed/>
    <w:rsid w:val="00C02E1A"/>
    <w:pPr>
      <w:spacing w:before="100" w:beforeAutospacing="1" w:after="100" w:afterAutospacing="1"/>
    </w:pPr>
    <w:rPr>
      <w:color w:val="000000"/>
      <w:lang w:val="fr-FR" w:eastAsia="fr-FR"/>
    </w:rPr>
  </w:style>
  <w:style w:type="paragraph" w:styleId="EndnoteText">
    <w:name w:val="endnote text"/>
    <w:basedOn w:val="Normal"/>
    <w:link w:val="EndnoteTextChar"/>
    <w:uiPriority w:val="99"/>
    <w:semiHidden/>
    <w:unhideWhenUsed/>
    <w:rsid w:val="005949AB"/>
    <w:rPr>
      <w:sz w:val="20"/>
      <w:szCs w:val="20"/>
    </w:rPr>
  </w:style>
  <w:style w:type="character" w:customStyle="1" w:styleId="EndnoteTextChar">
    <w:name w:val="Endnote Text Char"/>
    <w:basedOn w:val="DefaultParagraphFont"/>
    <w:link w:val="EndnoteText"/>
    <w:uiPriority w:val="99"/>
    <w:semiHidden/>
    <w:rsid w:val="005949AB"/>
    <w:rPr>
      <w:lang w:val="en-GB" w:eastAsia="en-US"/>
    </w:rPr>
  </w:style>
  <w:style w:type="character" w:styleId="EndnoteReference">
    <w:name w:val="endnote reference"/>
    <w:basedOn w:val="DefaultParagraphFont"/>
    <w:uiPriority w:val="99"/>
    <w:semiHidden/>
    <w:unhideWhenUsed/>
    <w:rsid w:val="005949AB"/>
    <w:rPr>
      <w:vertAlign w:val="superscript"/>
    </w:rPr>
  </w:style>
  <w:style w:type="character" w:styleId="FollowedHyperlink">
    <w:name w:val="FollowedHyperlink"/>
    <w:basedOn w:val="DefaultParagraphFont"/>
    <w:uiPriority w:val="99"/>
    <w:semiHidden/>
    <w:unhideWhenUsed/>
    <w:rsid w:val="008612CC"/>
    <w:rPr>
      <w:color w:val="800080" w:themeColor="followedHyperlink"/>
      <w:u w:val="single"/>
    </w:rPr>
  </w:style>
  <w:style w:type="character" w:customStyle="1" w:styleId="imo-stylesstyle-bold2">
    <w:name w:val="imo-stylesstyle-bold2"/>
    <w:basedOn w:val="DefaultParagraphFont"/>
    <w:rsid w:val="00CD20F5"/>
    <w:rPr>
      <w:b/>
      <w:bCs/>
    </w:rPr>
  </w:style>
  <w:style w:type="paragraph" w:customStyle="1" w:styleId="Default">
    <w:name w:val="Default"/>
    <w:rsid w:val="00051394"/>
    <w:pPr>
      <w:autoSpaceDE w:val="0"/>
      <w:autoSpaceDN w:val="0"/>
      <w:adjustRightInd w:val="0"/>
    </w:pPr>
    <w:rPr>
      <w:rFonts w:ascii="Arial" w:hAnsi="Arial" w:cs="Arial"/>
      <w:color w:val="000000"/>
      <w:sz w:val="24"/>
      <w:szCs w:val="24"/>
      <w:lang w:val="en-GB"/>
    </w:rPr>
  </w:style>
  <w:style w:type="paragraph" w:styleId="Header">
    <w:name w:val="header"/>
    <w:basedOn w:val="Normal"/>
    <w:link w:val="HeaderChar"/>
    <w:uiPriority w:val="99"/>
    <w:unhideWhenUsed/>
    <w:rsid w:val="00A24BB7"/>
    <w:pPr>
      <w:tabs>
        <w:tab w:val="center" w:pos="4513"/>
        <w:tab w:val="right" w:pos="9026"/>
      </w:tabs>
    </w:pPr>
  </w:style>
  <w:style w:type="character" w:customStyle="1" w:styleId="HeaderChar">
    <w:name w:val="Header Char"/>
    <w:basedOn w:val="DefaultParagraphFont"/>
    <w:link w:val="Header"/>
    <w:uiPriority w:val="99"/>
    <w:rsid w:val="00A24BB7"/>
    <w:rPr>
      <w:sz w:val="24"/>
      <w:szCs w:val="24"/>
      <w:lang w:val="en-GB" w:eastAsia="en-US"/>
    </w:rPr>
  </w:style>
  <w:style w:type="paragraph" w:styleId="Footer">
    <w:name w:val="footer"/>
    <w:basedOn w:val="Normal"/>
    <w:link w:val="FooterChar"/>
    <w:uiPriority w:val="99"/>
    <w:unhideWhenUsed/>
    <w:rsid w:val="00A24BB7"/>
    <w:pPr>
      <w:tabs>
        <w:tab w:val="center" w:pos="4513"/>
        <w:tab w:val="right" w:pos="9026"/>
      </w:tabs>
    </w:pPr>
  </w:style>
  <w:style w:type="character" w:customStyle="1" w:styleId="FooterChar">
    <w:name w:val="Footer Char"/>
    <w:basedOn w:val="DefaultParagraphFont"/>
    <w:link w:val="Footer"/>
    <w:uiPriority w:val="99"/>
    <w:rsid w:val="00A24BB7"/>
    <w:rPr>
      <w:sz w:val="24"/>
      <w:szCs w:val="24"/>
      <w:lang w:val="en-GB" w:eastAsia="en-US"/>
    </w:rPr>
  </w:style>
  <w:style w:type="character" w:styleId="UnresolvedMention">
    <w:name w:val="Unresolved Mention"/>
    <w:basedOn w:val="DefaultParagraphFont"/>
    <w:uiPriority w:val="99"/>
    <w:semiHidden/>
    <w:unhideWhenUsed/>
    <w:rsid w:val="006A2B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485449">
      <w:bodyDiv w:val="1"/>
      <w:marLeft w:val="0"/>
      <w:marRight w:val="0"/>
      <w:marTop w:val="0"/>
      <w:marBottom w:val="0"/>
      <w:divBdr>
        <w:top w:val="none" w:sz="0" w:space="0" w:color="auto"/>
        <w:left w:val="none" w:sz="0" w:space="0" w:color="auto"/>
        <w:bottom w:val="none" w:sz="0" w:space="0" w:color="auto"/>
        <w:right w:val="none" w:sz="0" w:space="0" w:color="auto"/>
      </w:divBdr>
      <w:divsChild>
        <w:div w:id="700132432">
          <w:marLeft w:val="0"/>
          <w:marRight w:val="0"/>
          <w:marTop w:val="0"/>
          <w:marBottom w:val="0"/>
          <w:divBdr>
            <w:top w:val="none" w:sz="0" w:space="0" w:color="auto"/>
            <w:left w:val="none" w:sz="0" w:space="0" w:color="auto"/>
            <w:bottom w:val="none" w:sz="0" w:space="0" w:color="auto"/>
            <w:right w:val="none" w:sz="0" w:space="0" w:color="auto"/>
          </w:divBdr>
        </w:div>
      </w:divsChild>
    </w:div>
    <w:div w:id="614947104">
      <w:bodyDiv w:val="1"/>
      <w:marLeft w:val="0"/>
      <w:marRight w:val="0"/>
      <w:marTop w:val="0"/>
      <w:marBottom w:val="0"/>
      <w:divBdr>
        <w:top w:val="none" w:sz="0" w:space="0" w:color="auto"/>
        <w:left w:val="none" w:sz="0" w:space="0" w:color="auto"/>
        <w:bottom w:val="none" w:sz="0" w:space="0" w:color="auto"/>
        <w:right w:val="none" w:sz="0" w:space="0" w:color="auto"/>
      </w:divBdr>
      <w:divsChild>
        <w:div w:id="355926891">
          <w:marLeft w:val="150"/>
          <w:marRight w:val="150"/>
          <w:marTop w:val="0"/>
          <w:marBottom w:val="150"/>
          <w:divBdr>
            <w:top w:val="none" w:sz="0" w:space="0" w:color="auto"/>
            <w:left w:val="none" w:sz="0" w:space="0" w:color="auto"/>
            <w:bottom w:val="none" w:sz="0" w:space="0" w:color="auto"/>
            <w:right w:val="none" w:sz="0" w:space="0" w:color="auto"/>
          </w:divBdr>
          <w:divsChild>
            <w:div w:id="904150341">
              <w:marLeft w:val="2700"/>
              <w:marRight w:val="0"/>
              <w:marTop w:val="0"/>
              <w:marBottom w:val="0"/>
              <w:divBdr>
                <w:top w:val="none" w:sz="0" w:space="0" w:color="auto"/>
                <w:left w:val="none" w:sz="0" w:space="0" w:color="auto"/>
                <w:bottom w:val="none" w:sz="0" w:space="0" w:color="auto"/>
                <w:right w:val="none" w:sz="0" w:space="0" w:color="auto"/>
              </w:divBdr>
              <w:divsChild>
                <w:div w:id="1892231799">
                  <w:marLeft w:val="0"/>
                  <w:marRight w:val="0"/>
                  <w:marTop w:val="0"/>
                  <w:marBottom w:val="0"/>
                  <w:divBdr>
                    <w:top w:val="single" w:sz="12" w:space="4" w:color="999999"/>
                    <w:left w:val="single" w:sz="6" w:space="4" w:color="999999"/>
                    <w:bottom w:val="single" w:sz="6" w:space="4" w:color="999999"/>
                    <w:right w:val="single" w:sz="6" w:space="4" w:color="999999"/>
                  </w:divBdr>
                </w:div>
              </w:divsChild>
            </w:div>
          </w:divsChild>
        </w:div>
      </w:divsChild>
    </w:div>
    <w:div w:id="807431087">
      <w:bodyDiv w:val="1"/>
      <w:marLeft w:val="0"/>
      <w:marRight w:val="0"/>
      <w:marTop w:val="0"/>
      <w:marBottom w:val="0"/>
      <w:divBdr>
        <w:top w:val="none" w:sz="0" w:space="0" w:color="auto"/>
        <w:left w:val="none" w:sz="0" w:space="0" w:color="auto"/>
        <w:bottom w:val="none" w:sz="0" w:space="0" w:color="auto"/>
        <w:right w:val="none" w:sz="0" w:space="0" w:color="auto"/>
      </w:divBdr>
      <w:divsChild>
        <w:div w:id="346489126">
          <w:marLeft w:val="0"/>
          <w:marRight w:val="0"/>
          <w:marTop w:val="0"/>
          <w:marBottom w:val="0"/>
          <w:divBdr>
            <w:top w:val="none" w:sz="0" w:space="0" w:color="auto"/>
            <w:left w:val="none" w:sz="0" w:space="0" w:color="auto"/>
            <w:bottom w:val="none" w:sz="0" w:space="0" w:color="auto"/>
            <w:right w:val="none" w:sz="0" w:space="0" w:color="auto"/>
          </w:divBdr>
        </w:div>
        <w:div w:id="602223647">
          <w:marLeft w:val="0"/>
          <w:marRight w:val="0"/>
          <w:marTop w:val="0"/>
          <w:marBottom w:val="0"/>
          <w:divBdr>
            <w:top w:val="none" w:sz="0" w:space="0" w:color="auto"/>
            <w:left w:val="none" w:sz="0" w:space="0" w:color="auto"/>
            <w:bottom w:val="none" w:sz="0" w:space="0" w:color="auto"/>
            <w:right w:val="none" w:sz="0" w:space="0" w:color="auto"/>
          </w:divBdr>
        </w:div>
        <w:div w:id="643587056">
          <w:marLeft w:val="0"/>
          <w:marRight w:val="0"/>
          <w:marTop w:val="0"/>
          <w:marBottom w:val="0"/>
          <w:divBdr>
            <w:top w:val="none" w:sz="0" w:space="0" w:color="auto"/>
            <w:left w:val="none" w:sz="0" w:space="0" w:color="auto"/>
            <w:bottom w:val="none" w:sz="0" w:space="0" w:color="auto"/>
            <w:right w:val="none" w:sz="0" w:space="0" w:color="auto"/>
          </w:divBdr>
        </w:div>
        <w:div w:id="802386155">
          <w:marLeft w:val="0"/>
          <w:marRight w:val="0"/>
          <w:marTop w:val="0"/>
          <w:marBottom w:val="0"/>
          <w:divBdr>
            <w:top w:val="none" w:sz="0" w:space="0" w:color="auto"/>
            <w:left w:val="none" w:sz="0" w:space="0" w:color="auto"/>
            <w:bottom w:val="none" w:sz="0" w:space="0" w:color="auto"/>
            <w:right w:val="none" w:sz="0" w:space="0" w:color="auto"/>
          </w:divBdr>
        </w:div>
      </w:divsChild>
    </w:div>
    <w:div w:id="1152873168">
      <w:bodyDiv w:val="1"/>
      <w:marLeft w:val="0"/>
      <w:marRight w:val="0"/>
      <w:marTop w:val="0"/>
      <w:marBottom w:val="0"/>
      <w:divBdr>
        <w:top w:val="none" w:sz="0" w:space="0" w:color="auto"/>
        <w:left w:val="none" w:sz="0" w:space="0" w:color="auto"/>
        <w:bottom w:val="none" w:sz="0" w:space="0" w:color="auto"/>
        <w:right w:val="none" w:sz="0" w:space="0" w:color="auto"/>
      </w:divBdr>
      <w:divsChild>
        <w:div w:id="1155872106">
          <w:marLeft w:val="0"/>
          <w:marRight w:val="0"/>
          <w:marTop w:val="0"/>
          <w:marBottom w:val="0"/>
          <w:divBdr>
            <w:top w:val="none" w:sz="0" w:space="0" w:color="auto"/>
            <w:left w:val="none" w:sz="0" w:space="0" w:color="auto"/>
            <w:bottom w:val="none" w:sz="0" w:space="0" w:color="auto"/>
            <w:right w:val="none" w:sz="0" w:space="0" w:color="auto"/>
          </w:divBdr>
          <w:divsChild>
            <w:div w:id="492339181">
              <w:marLeft w:val="0"/>
              <w:marRight w:val="0"/>
              <w:marTop w:val="0"/>
              <w:marBottom w:val="0"/>
              <w:divBdr>
                <w:top w:val="none" w:sz="0" w:space="0" w:color="auto"/>
                <w:left w:val="none" w:sz="0" w:space="0" w:color="auto"/>
                <w:bottom w:val="none" w:sz="0" w:space="0" w:color="auto"/>
                <w:right w:val="none" w:sz="0" w:space="0" w:color="auto"/>
              </w:divBdr>
              <w:divsChild>
                <w:div w:id="1278759235">
                  <w:marLeft w:val="0"/>
                  <w:marRight w:val="0"/>
                  <w:marTop w:val="0"/>
                  <w:marBottom w:val="0"/>
                  <w:divBdr>
                    <w:top w:val="none" w:sz="0" w:space="0" w:color="auto"/>
                    <w:left w:val="none" w:sz="0" w:space="0" w:color="auto"/>
                    <w:bottom w:val="none" w:sz="0" w:space="0" w:color="auto"/>
                    <w:right w:val="none" w:sz="0" w:space="0" w:color="auto"/>
                  </w:divBdr>
                  <w:divsChild>
                    <w:div w:id="60717083">
                      <w:marLeft w:val="0"/>
                      <w:marRight w:val="0"/>
                      <w:marTop w:val="0"/>
                      <w:marBottom w:val="0"/>
                      <w:divBdr>
                        <w:top w:val="none" w:sz="0" w:space="0" w:color="auto"/>
                        <w:left w:val="none" w:sz="0" w:space="0" w:color="auto"/>
                        <w:bottom w:val="none" w:sz="0" w:space="0" w:color="auto"/>
                        <w:right w:val="none" w:sz="0" w:space="0" w:color="auto"/>
                      </w:divBdr>
                      <w:divsChild>
                        <w:div w:id="1986810252">
                          <w:marLeft w:val="0"/>
                          <w:marRight w:val="0"/>
                          <w:marTop w:val="0"/>
                          <w:marBottom w:val="0"/>
                          <w:divBdr>
                            <w:top w:val="none" w:sz="0" w:space="0" w:color="auto"/>
                            <w:left w:val="none" w:sz="0" w:space="0" w:color="auto"/>
                            <w:bottom w:val="none" w:sz="0" w:space="0" w:color="auto"/>
                            <w:right w:val="none" w:sz="0" w:space="0" w:color="auto"/>
                          </w:divBdr>
                          <w:divsChild>
                            <w:div w:id="267740300">
                              <w:marLeft w:val="0"/>
                              <w:marRight w:val="0"/>
                              <w:marTop w:val="0"/>
                              <w:marBottom w:val="0"/>
                              <w:divBdr>
                                <w:top w:val="none" w:sz="0" w:space="0" w:color="auto"/>
                                <w:left w:val="none" w:sz="0" w:space="0" w:color="auto"/>
                                <w:bottom w:val="none" w:sz="0" w:space="0" w:color="auto"/>
                                <w:right w:val="none" w:sz="0" w:space="0" w:color="auto"/>
                              </w:divBdr>
                              <w:divsChild>
                                <w:div w:id="1208445513">
                                  <w:marLeft w:val="45"/>
                                  <w:marRight w:val="45"/>
                                  <w:marTop w:val="0"/>
                                  <w:marBottom w:val="0"/>
                                  <w:divBdr>
                                    <w:top w:val="none" w:sz="0" w:space="0" w:color="auto"/>
                                    <w:left w:val="none" w:sz="0" w:space="0" w:color="auto"/>
                                    <w:bottom w:val="none" w:sz="0" w:space="0" w:color="auto"/>
                                    <w:right w:val="none" w:sz="0" w:space="0" w:color="auto"/>
                                  </w:divBdr>
                                  <w:divsChild>
                                    <w:div w:id="2042391051">
                                      <w:marLeft w:val="0"/>
                                      <w:marRight w:val="0"/>
                                      <w:marTop w:val="0"/>
                                      <w:marBottom w:val="0"/>
                                      <w:divBdr>
                                        <w:top w:val="none" w:sz="0" w:space="0" w:color="auto"/>
                                        <w:left w:val="none" w:sz="0" w:space="0" w:color="auto"/>
                                        <w:bottom w:val="none" w:sz="0" w:space="0" w:color="auto"/>
                                        <w:right w:val="none" w:sz="0" w:space="0" w:color="auto"/>
                                      </w:divBdr>
                                      <w:divsChild>
                                        <w:div w:id="1765227857">
                                          <w:marLeft w:val="0"/>
                                          <w:marRight w:val="0"/>
                                          <w:marTop w:val="0"/>
                                          <w:marBottom w:val="0"/>
                                          <w:divBdr>
                                            <w:top w:val="none" w:sz="0" w:space="0" w:color="auto"/>
                                            <w:left w:val="none" w:sz="0" w:space="0" w:color="auto"/>
                                            <w:bottom w:val="none" w:sz="0" w:space="0" w:color="auto"/>
                                            <w:right w:val="none" w:sz="0" w:space="0" w:color="auto"/>
                                          </w:divBdr>
                                          <w:divsChild>
                                            <w:div w:id="77751315">
                                              <w:marLeft w:val="0"/>
                                              <w:marRight w:val="0"/>
                                              <w:marTop w:val="0"/>
                                              <w:marBottom w:val="0"/>
                                              <w:divBdr>
                                                <w:top w:val="none" w:sz="0" w:space="0" w:color="auto"/>
                                                <w:left w:val="none" w:sz="0" w:space="0" w:color="auto"/>
                                                <w:bottom w:val="none" w:sz="0" w:space="0" w:color="auto"/>
                                                <w:right w:val="none" w:sz="0" w:space="0" w:color="auto"/>
                                              </w:divBdr>
                                            </w:div>
                                            <w:div w:id="1633635780">
                                              <w:marLeft w:val="0"/>
                                              <w:marRight w:val="0"/>
                                              <w:marTop w:val="0"/>
                                              <w:marBottom w:val="0"/>
                                              <w:divBdr>
                                                <w:top w:val="none" w:sz="0" w:space="0" w:color="auto"/>
                                                <w:left w:val="none" w:sz="0" w:space="0" w:color="auto"/>
                                                <w:bottom w:val="none" w:sz="0" w:space="0" w:color="auto"/>
                                                <w:right w:val="none" w:sz="0" w:space="0" w:color="auto"/>
                                              </w:divBdr>
                                            </w:div>
                                            <w:div w:id="1654413554">
                                              <w:marLeft w:val="0"/>
                                              <w:marRight w:val="0"/>
                                              <w:marTop w:val="0"/>
                                              <w:marBottom w:val="0"/>
                                              <w:divBdr>
                                                <w:top w:val="none" w:sz="0" w:space="0" w:color="auto"/>
                                                <w:left w:val="none" w:sz="0" w:space="0" w:color="auto"/>
                                                <w:bottom w:val="none" w:sz="0" w:space="0" w:color="auto"/>
                                                <w:right w:val="none" w:sz="0" w:space="0" w:color="auto"/>
                                              </w:divBdr>
                                            </w:div>
                                            <w:div w:id="1684360557">
                                              <w:marLeft w:val="0"/>
                                              <w:marRight w:val="0"/>
                                              <w:marTop w:val="0"/>
                                              <w:marBottom w:val="0"/>
                                              <w:divBdr>
                                                <w:top w:val="none" w:sz="0" w:space="0" w:color="auto"/>
                                                <w:left w:val="none" w:sz="0" w:space="0" w:color="auto"/>
                                                <w:bottom w:val="none" w:sz="0" w:space="0" w:color="auto"/>
                                                <w:right w:val="none" w:sz="0" w:space="0" w:color="auto"/>
                                              </w:divBdr>
                                            </w:div>
                                            <w:div w:id="213951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2879073">
      <w:bodyDiv w:val="1"/>
      <w:marLeft w:val="0"/>
      <w:marRight w:val="0"/>
      <w:marTop w:val="0"/>
      <w:marBottom w:val="0"/>
      <w:divBdr>
        <w:top w:val="none" w:sz="0" w:space="0" w:color="auto"/>
        <w:left w:val="none" w:sz="0" w:space="0" w:color="auto"/>
        <w:bottom w:val="none" w:sz="0" w:space="0" w:color="auto"/>
        <w:right w:val="none" w:sz="0" w:space="0" w:color="auto"/>
      </w:divBdr>
      <w:divsChild>
        <w:div w:id="12154570">
          <w:marLeft w:val="0"/>
          <w:marRight w:val="0"/>
          <w:marTop w:val="0"/>
          <w:marBottom w:val="0"/>
          <w:divBdr>
            <w:top w:val="none" w:sz="0" w:space="0" w:color="auto"/>
            <w:left w:val="none" w:sz="0" w:space="0" w:color="auto"/>
            <w:bottom w:val="none" w:sz="0" w:space="0" w:color="auto"/>
            <w:right w:val="none" w:sz="0" w:space="0" w:color="auto"/>
          </w:divBdr>
          <w:divsChild>
            <w:div w:id="862524167">
              <w:marLeft w:val="0"/>
              <w:marRight w:val="0"/>
              <w:marTop w:val="0"/>
              <w:marBottom w:val="0"/>
              <w:divBdr>
                <w:top w:val="none" w:sz="0" w:space="0" w:color="auto"/>
                <w:left w:val="none" w:sz="0" w:space="0" w:color="auto"/>
                <w:bottom w:val="none" w:sz="0" w:space="0" w:color="auto"/>
                <w:right w:val="none" w:sz="0" w:space="0" w:color="auto"/>
              </w:divBdr>
              <w:divsChild>
                <w:div w:id="1765803023">
                  <w:marLeft w:val="0"/>
                  <w:marRight w:val="0"/>
                  <w:marTop w:val="0"/>
                  <w:marBottom w:val="0"/>
                  <w:divBdr>
                    <w:top w:val="none" w:sz="0" w:space="0" w:color="auto"/>
                    <w:left w:val="none" w:sz="0" w:space="0" w:color="auto"/>
                    <w:bottom w:val="none" w:sz="0" w:space="0" w:color="auto"/>
                    <w:right w:val="none" w:sz="0" w:space="0" w:color="auto"/>
                  </w:divBdr>
                  <w:divsChild>
                    <w:div w:id="517155489">
                      <w:marLeft w:val="0"/>
                      <w:marRight w:val="0"/>
                      <w:marTop w:val="0"/>
                      <w:marBottom w:val="0"/>
                      <w:divBdr>
                        <w:top w:val="none" w:sz="0" w:space="0" w:color="auto"/>
                        <w:left w:val="none" w:sz="0" w:space="0" w:color="auto"/>
                        <w:bottom w:val="none" w:sz="0" w:space="0" w:color="auto"/>
                        <w:right w:val="none" w:sz="0" w:space="0" w:color="auto"/>
                      </w:divBdr>
                      <w:divsChild>
                        <w:div w:id="1757052207">
                          <w:marLeft w:val="0"/>
                          <w:marRight w:val="0"/>
                          <w:marTop w:val="0"/>
                          <w:marBottom w:val="0"/>
                          <w:divBdr>
                            <w:top w:val="none" w:sz="0" w:space="0" w:color="auto"/>
                            <w:left w:val="none" w:sz="0" w:space="0" w:color="auto"/>
                            <w:bottom w:val="none" w:sz="0" w:space="0" w:color="auto"/>
                            <w:right w:val="none" w:sz="0" w:space="0" w:color="auto"/>
                          </w:divBdr>
                          <w:divsChild>
                            <w:div w:id="411397083">
                              <w:marLeft w:val="0"/>
                              <w:marRight w:val="0"/>
                              <w:marTop w:val="0"/>
                              <w:marBottom w:val="0"/>
                              <w:divBdr>
                                <w:top w:val="none" w:sz="0" w:space="0" w:color="auto"/>
                                <w:left w:val="none" w:sz="0" w:space="0" w:color="auto"/>
                                <w:bottom w:val="none" w:sz="0" w:space="0" w:color="auto"/>
                                <w:right w:val="none" w:sz="0" w:space="0" w:color="auto"/>
                              </w:divBdr>
                              <w:divsChild>
                                <w:div w:id="761537087">
                                  <w:marLeft w:val="45"/>
                                  <w:marRight w:val="45"/>
                                  <w:marTop w:val="0"/>
                                  <w:marBottom w:val="0"/>
                                  <w:divBdr>
                                    <w:top w:val="none" w:sz="0" w:space="0" w:color="auto"/>
                                    <w:left w:val="none" w:sz="0" w:space="0" w:color="auto"/>
                                    <w:bottom w:val="none" w:sz="0" w:space="0" w:color="auto"/>
                                    <w:right w:val="none" w:sz="0" w:space="0" w:color="auto"/>
                                  </w:divBdr>
                                  <w:divsChild>
                                    <w:div w:id="1188906257">
                                      <w:marLeft w:val="0"/>
                                      <w:marRight w:val="0"/>
                                      <w:marTop w:val="0"/>
                                      <w:marBottom w:val="0"/>
                                      <w:divBdr>
                                        <w:top w:val="none" w:sz="0" w:space="0" w:color="auto"/>
                                        <w:left w:val="none" w:sz="0" w:space="0" w:color="auto"/>
                                        <w:bottom w:val="none" w:sz="0" w:space="0" w:color="auto"/>
                                        <w:right w:val="none" w:sz="0" w:space="0" w:color="auto"/>
                                      </w:divBdr>
                                      <w:divsChild>
                                        <w:div w:id="1434588607">
                                          <w:marLeft w:val="0"/>
                                          <w:marRight w:val="0"/>
                                          <w:marTop w:val="0"/>
                                          <w:marBottom w:val="0"/>
                                          <w:divBdr>
                                            <w:top w:val="none" w:sz="0" w:space="0" w:color="auto"/>
                                            <w:left w:val="none" w:sz="0" w:space="0" w:color="auto"/>
                                            <w:bottom w:val="none" w:sz="0" w:space="0" w:color="auto"/>
                                            <w:right w:val="none" w:sz="0" w:space="0" w:color="auto"/>
                                          </w:divBdr>
                                          <w:divsChild>
                                            <w:div w:id="565459134">
                                              <w:marLeft w:val="0"/>
                                              <w:marRight w:val="0"/>
                                              <w:marTop w:val="0"/>
                                              <w:marBottom w:val="0"/>
                                              <w:divBdr>
                                                <w:top w:val="none" w:sz="0" w:space="0" w:color="auto"/>
                                                <w:left w:val="none" w:sz="0" w:space="0" w:color="auto"/>
                                                <w:bottom w:val="none" w:sz="0" w:space="0" w:color="auto"/>
                                                <w:right w:val="none" w:sz="0" w:space="0" w:color="auto"/>
                                              </w:divBdr>
                                            </w:div>
                                            <w:div w:id="1817531182">
                                              <w:marLeft w:val="0"/>
                                              <w:marRight w:val="0"/>
                                              <w:marTop w:val="0"/>
                                              <w:marBottom w:val="0"/>
                                              <w:divBdr>
                                                <w:top w:val="none" w:sz="0" w:space="0" w:color="auto"/>
                                                <w:left w:val="none" w:sz="0" w:space="0" w:color="auto"/>
                                                <w:bottom w:val="none" w:sz="0" w:space="0" w:color="auto"/>
                                                <w:right w:val="none" w:sz="0" w:space="0" w:color="auto"/>
                                              </w:divBdr>
                                            </w:div>
                                            <w:div w:id="18187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1641620">
      <w:bodyDiv w:val="1"/>
      <w:marLeft w:val="0"/>
      <w:marRight w:val="0"/>
      <w:marTop w:val="0"/>
      <w:marBottom w:val="0"/>
      <w:divBdr>
        <w:top w:val="none" w:sz="0" w:space="0" w:color="auto"/>
        <w:left w:val="none" w:sz="0" w:space="0" w:color="auto"/>
        <w:bottom w:val="none" w:sz="0" w:space="0" w:color="auto"/>
        <w:right w:val="none" w:sz="0" w:space="0" w:color="auto"/>
      </w:divBdr>
      <w:divsChild>
        <w:div w:id="1317949">
          <w:marLeft w:val="0"/>
          <w:marRight w:val="0"/>
          <w:marTop w:val="0"/>
          <w:marBottom w:val="0"/>
          <w:divBdr>
            <w:top w:val="none" w:sz="0" w:space="0" w:color="auto"/>
            <w:left w:val="none" w:sz="0" w:space="0" w:color="auto"/>
            <w:bottom w:val="none" w:sz="0" w:space="0" w:color="auto"/>
            <w:right w:val="none" w:sz="0" w:space="0" w:color="auto"/>
          </w:divBdr>
        </w:div>
      </w:divsChild>
    </w:div>
    <w:div w:id="1865439625">
      <w:bodyDiv w:val="1"/>
      <w:marLeft w:val="0"/>
      <w:marRight w:val="0"/>
      <w:marTop w:val="0"/>
      <w:marBottom w:val="0"/>
      <w:divBdr>
        <w:top w:val="none" w:sz="0" w:space="0" w:color="auto"/>
        <w:left w:val="none" w:sz="0" w:space="0" w:color="auto"/>
        <w:bottom w:val="none" w:sz="0" w:space="0" w:color="auto"/>
        <w:right w:val="none" w:sz="0" w:space="0" w:color="auto"/>
      </w:divBdr>
      <w:divsChild>
        <w:div w:id="1226067716">
          <w:marLeft w:val="0"/>
          <w:marRight w:val="0"/>
          <w:marTop w:val="0"/>
          <w:marBottom w:val="0"/>
          <w:divBdr>
            <w:top w:val="none" w:sz="0" w:space="0" w:color="auto"/>
            <w:left w:val="none" w:sz="0" w:space="0" w:color="auto"/>
            <w:bottom w:val="none" w:sz="0" w:space="0" w:color="auto"/>
            <w:right w:val="none" w:sz="0" w:space="0" w:color="auto"/>
          </w:divBdr>
          <w:divsChild>
            <w:div w:id="1942950668">
              <w:marLeft w:val="0"/>
              <w:marRight w:val="0"/>
              <w:marTop w:val="0"/>
              <w:marBottom w:val="0"/>
              <w:divBdr>
                <w:top w:val="none" w:sz="0" w:space="0" w:color="auto"/>
                <w:left w:val="none" w:sz="0" w:space="0" w:color="auto"/>
                <w:bottom w:val="none" w:sz="0" w:space="0" w:color="auto"/>
                <w:right w:val="none" w:sz="0" w:space="0" w:color="auto"/>
              </w:divBdr>
              <w:divsChild>
                <w:div w:id="1552382500">
                  <w:marLeft w:val="0"/>
                  <w:marRight w:val="0"/>
                  <w:marTop w:val="0"/>
                  <w:marBottom w:val="0"/>
                  <w:divBdr>
                    <w:top w:val="none" w:sz="0" w:space="0" w:color="auto"/>
                    <w:left w:val="none" w:sz="0" w:space="0" w:color="auto"/>
                    <w:bottom w:val="none" w:sz="0" w:space="0" w:color="auto"/>
                    <w:right w:val="none" w:sz="0" w:space="0" w:color="auto"/>
                  </w:divBdr>
                  <w:divsChild>
                    <w:div w:id="1687633733">
                      <w:marLeft w:val="0"/>
                      <w:marRight w:val="0"/>
                      <w:marTop w:val="0"/>
                      <w:marBottom w:val="0"/>
                      <w:divBdr>
                        <w:top w:val="none" w:sz="0" w:space="0" w:color="auto"/>
                        <w:left w:val="none" w:sz="0" w:space="0" w:color="auto"/>
                        <w:bottom w:val="none" w:sz="0" w:space="0" w:color="auto"/>
                        <w:right w:val="none" w:sz="0" w:space="0" w:color="auto"/>
                      </w:divBdr>
                      <w:divsChild>
                        <w:div w:id="1535532001">
                          <w:marLeft w:val="0"/>
                          <w:marRight w:val="0"/>
                          <w:marTop w:val="0"/>
                          <w:marBottom w:val="0"/>
                          <w:divBdr>
                            <w:top w:val="none" w:sz="0" w:space="0" w:color="auto"/>
                            <w:left w:val="none" w:sz="0" w:space="0" w:color="auto"/>
                            <w:bottom w:val="none" w:sz="0" w:space="0" w:color="auto"/>
                            <w:right w:val="none" w:sz="0" w:space="0" w:color="auto"/>
                          </w:divBdr>
                          <w:divsChild>
                            <w:div w:id="646931358">
                              <w:marLeft w:val="0"/>
                              <w:marRight w:val="0"/>
                              <w:marTop w:val="0"/>
                              <w:marBottom w:val="0"/>
                              <w:divBdr>
                                <w:top w:val="none" w:sz="0" w:space="0" w:color="auto"/>
                                <w:left w:val="none" w:sz="0" w:space="0" w:color="auto"/>
                                <w:bottom w:val="none" w:sz="0" w:space="0" w:color="auto"/>
                                <w:right w:val="none" w:sz="0" w:space="0" w:color="auto"/>
                              </w:divBdr>
                              <w:divsChild>
                                <w:div w:id="542864566">
                                  <w:marLeft w:val="45"/>
                                  <w:marRight w:val="45"/>
                                  <w:marTop w:val="0"/>
                                  <w:marBottom w:val="0"/>
                                  <w:divBdr>
                                    <w:top w:val="none" w:sz="0" w:space="0" w:color="auto"/>
                                    <w:left w:val="none" w:sz="0" w:space="0" w:color="auto"/>
                                    <w:bottom w:val="none" w:sz="0" w:space="0" w:color="auto"/>
                                    <w:right w:val="none" w:sz="0" w:space="0" w:color="auto"/>
                                  </w:divBdr>
                                  <w:divsChild>
                                    <w:div w:id="1004358876">
                                      <w:marLeft w:val="0"/>
                                      <w:marRight w:val="0"/>
                                      <w:marTop w:val="0"/>
                                      <w:marBottom w:val="0"/>
                                      <w:divBdr>
                                        <w:top w:val="none" w:sz="0" w:space="0" w:color="auto"/>
                                        <w:left w:val="none" w:sz="0" w:space="0" w:color="auto"/>
                                        <w:bottom w:val="none" w:sz="0" w:space="0" w:color="auto"/>
                                        <w:right w:val="none" w:sz="0" w:space="0" w:color="auto"/>
                                      </w:divBdr>
                                      <w:divsChild>
                                        <w:div w:id="224999092">
                                          <w:marLeft w:val="0"/>
                                          <w:marRight w:val="0"/>
                                          <w:marTop w:val="0"/>
                                          <w:marBottom w:val="0"/>
                                          <w:divBdr>
                                            <w:top w:val="none" w:sz="0" w:space="0" w:color="auto"/>
                                            <w:left w:val="none" w:sz="0" w:space="0" w:color="auto"/>
                                            <w:bottom w:val="none" w:sz="0" w:space="0" w:color="auto"/>
                                            <w:right w:val="none" w:sz="0" w:space="0" w:color="auto"/>
                                          </w:divBdr>
                                          <w:divsChild>
                                            <w:div w:id="1030490043">
                                              <w:marLeft w:val="0"/>
                                              <w:marRight w:val="0"/>
                                              <w:marTop w:val="0"/>
                                              <w:marBottom w:val="0"/>
                                              <w:divBdr>
                                                <w:top w:val="none" w:sz="0" w:space="0" w:color="auto"/>
                                                <w:left w:val="none" w:sz="0" w:space="0" w:color="auto"/>
                                                <w:bottom w:val="none" w:sz="0" w:space="0" w:color="auto"/>
                                                <w:right w:val="none" w:sz="0" w:space="0" w:color="auto"/>
                                              </w:divBdr>
                                            </w:div>
                                            <w:div w:id="18643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6.bin"/><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73f7247-9622-4e71-bbeb-4200bb5479fb" xsi:nil="true"/>
    <Date xmlns="b2600abb-1545-44fa-b44d-34a36738acde" xsi:nil="true"/>
    <lcf76f155ced4ddcb4097134ff3c332f xmlns="b2600abb-1545-44fa-b44d-34a36738acd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D13F4C518E228408E2F0BB39F7C5DBF" ma:contentTypeVersion="17" ma:contentTypeDescription="Create a new document." ma:contentTypeScope="" ma:versionID="1e2d08eb72bb103f88dd5ef87deabab0">
  <xsd:schema xmlns:xsd="http://www.w3.org/2001/XMLSchema" xmlns:xs="http://www.w3.org/2001/XMLSchema" xmlns:p="http://schemas.microsoft.com/office/2006/metadata/properties" xmlns:ns2="b2600abb-1545-44fa-b44d-34a36738acde" xmlns:ns3="a73f7247-9622-4e71-bbeb-4200bb5479fb" targetNamespace="http://schemas.microsoft.com/office/2006/metadata/properties" ma:root="true" ma:fieldsID="f60e2ff5e296a570f6934f1316030650" ns2:_="" ns3:_="">
    <xsd:import namespace="b2600abb-1545-44fa-b44d-34a36738acde"/>
    <xsd:import namespace="a73f7247-9622-4e71-bbeb-4200bb5479f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Date"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00abb-1545-44fa-b44d-34a36738ac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7b8b57c-c229-495d-ac11-a3711da59fe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Date" ma:index="22" nillable="true" ma:displayName="Date" ma:format="DateOnly" ma:internalName="Date">
      <xsd:simpleType>
        <xsd:restriction base="dms:DateTim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3f7247-9622-4e71-bbeb-4200bb5479f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b1ccf12-e817-43cb-8291-0866315626cd}" ma:internalName="TaxCatchAll" ma:showField="CatchAllData" ma:web="a73f7247-9622-4e71-bbeb-4200bb5479f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0ADEB4-018E-444E-8E16-4B2A8151BDA9}">
  <ds:schemaRefs>
    <ds:schemaRef ds:uri="http://schemas.microsoft.com/office/2006/metadata/properties"/>
    <ds:schemaRef ds:uri="http://schemas.microsoft.com/office/infopath/2007/PartnerControls"/>
    <ds:schemaRef ds:uri="a73f7247-9622-4e71-bbeb-4200bb5479fb"/>
    <ds:schemaRef ds:uri="b2600abb-1545-44fa-b44d-34a36738acde"/>
  </ds:schemaRefs>
</ds:datastoreItem>
</file>

<file path=customXml/itemProps2.xml><?xml version="1.0" encoding="utf-8"?>
<ds:datastoreItem xmlns:ds="http://schemas.openxmlformats.org/officeDocument/2006/customXml" ds:itemID="{766DD333-D574-4A58-BAF6-59321B7AC08F}">
  <ds:schemaRefs>
    <ds:schemaRef ds:uri="http://schemas.microsoft.com/sharepoint/v3/contenttype/forms"/>
  </ds:schemaRefs>
</ds:datastoreItem>
</file>

<file path=customXml/itemProps3.xml><?xml version="1.0" encoding="utf-8"?>
<ds:datastoreItem xmlns:ds="http://schemas.openxmlformats.org/officeDocument/2006/customXml" ds:itemID="{93719DFA-4DD2-4163-9592-022B95680967}">
  <ds:schemaRefs>
    <ds:schemaRef ds:uri="http://schemas.openxmlformats.org/officeDocument/2006/bibliography"/>
  </ds:schemaRefs>
</ds:datastoreItem>
</file>

<file path=customXml/itemProps4.xml><?xml version="1.0" encoding="utf-8"?>
<ds:datastoreItem xmlns:ds="http://schemas.openxmlformats.org/officeDocument/2006/customXml" ds:itemID="{9D081281-0880-45D2-9630-C4EF7D3246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00abb-1545-44fa-b44d-34a36738acde"/>
    <ds:schemaRef ds:uri="a73f7247-9622-4e71-bbeb-4200bb5479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3337</Words>
  <Characters>19024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dc:creator>
  <cp:keywords/>
  <dc:description/>
  <cp:lastModifiedBy>Adam James</cp:lastModifiedBy>
  <cp:revision>2</cp:revision>
  <cp:lastPrinted>2025-05-26T14:25:00Z</cp:lastPrinted>
  <dcterms:created xsi:type="dcterms:W3CDTF">2025-06-02T09:20:00Z</dcterms:created>
  <dcterms:modified xsi:type="dcterms:W3CDTF">2025-06-02T09:20:00Z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0x0101009D13F4C518E228408E2F0BB39F7C5DBF</vt:lpwstr>
  </property>
</Properties>
</file>