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B108" w14:textId="7502FAE8" w:rsidR="00311F57" w:rsidRPr="00311F57" w:rsidRDefault="00311F57" w:rsidP="00311F57">
      <w:pPr>
        <w:tabs>
          <w:tab w:val="left" w:pos="9475"/>
        </w:tabs>
        <w:jc w:val="center"/>
      </w:pPr>
      <w:r>
        <w:rPr>
          <w:b/>
          <w:bCs/>
        </w:rPr>
        <w:br/>
      </w:r>
      <w:r w:rsidRPr="00311F57">
        <w:rPr>
          <w:b/>
          <w:bCs/>
        </w:rPr>
        <w:t xml:space="preserve">British Marine (BM) Terms and Conditions </w:t>
      </w:r>
      <w:r>
        <w:rPr>
          <w:b/>
          <w:bCs/>
        </w:rPr>
        <w:t xml:space="preserve">for </w:t>
      </w:r>
      <w:r w:rsidR="00070B3E">
        <w:rPr>
          <w:b/>
          <w:bCs/>
        </w:rPr>
        <w:t xml:space="preserve">Marina Manager </w:t>
      </w:r>
      <w:r w:rsidRPr="00311F57">
        <w:rPr>
          <w:b/>
          <w:bCs/>
        </w:rPr>
        <w:t>Courses - Cancellation, Transfer &amp; Refund Policy</w:t>
      </w:r>
    </w:p>
    <w:p w14:paraId="5E201743" w14:textId="77777777" w:rsidR="00B209C5" w:rsidRPr="00B209C5" w:rsidRDefault="00311F57" w:rsidP="00070B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B209C5">
        <w:rPr>
          <w:b/>
          <w:bCs/>
          <w:u w:val="single"/>
        </w:rPr>
        <w:t>Course B</w:t>
      </w:r>
      <w:r w:rsidRPr="00311F57">
        <w:rPr>
          <w:b/>
          <w:bCs/>
          <w:u w:val="single"/>
        </w:rPr>
        <w:t>ooking Request</w:t>
      </w:r>
      <w:r w:rsidRPr="00311F57">
        <w:rPr>
          <w:u w:val="single"/>
        </w:rPr>
        <w:t> </w:t>
      </w:r>
      <w:r w:rsidRPr="00B209C5">
        <w:rPr>
          <w:u w:val="single"/>
        </w:rPr>
        <w:t xml:space="preserve">                 </w:t>
      </w:r>
    </w:p>
    <w:p w14:paraId="49DCB8E4" w14:textId="3E07F9CC" w:rsidR="00B209C5" w:rsidRDefault="00B209C5" w:rsidP="00070B3E">
      <w:pPr>
        <w:spacing w:line="240" w:lineRule="auto"/>
        <w:ind w:left="360"/>
        <w:jc w:val="both"/>
      </w:pPr>
      <w:r w:rsidRPr="00B209C5">
        <w:t>Once you (the delegate or the delegate’s organisation) confirm your course booking in writing</w:t>
      </w:r>
      <w:r>
        <w:t xml:space="preserve"> - </w:t>
      </w:r>
      <w:r w:rsidRPr="00B209C5">
        <w:t>either by email or by completing an online MS Form on our booking system</w:t>
      </w:r>
      <w:r>
        <w:t>, B</w:t>
      </w:r>
      <w:r w:rsidRPr="00B209C5">
        <w:t>M will issue an invoice. When the invoice is issued, a binding contract is formed under these Terms.</w:t>
      </w:r>
      <w:r w:rsidR="00311F57">
        <w:t xml:space="preserve"> </w:t>
      </w:r>
      <w:r>
        <w:br/>
      </w:r>
      <w:r w:rsidR="00311F57">
        <w:t xml:space="preserve">                                                                                            </w:t>
      </w:r>
    </w:p>
    <w:p w14:paraId="7C9B83BD" w14:textId="77777777" w:rsidR="00311F57" w:rsidRPr="00B209C5" w:rsidRDefault="00311F57" w:rsidP="00070B3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311F57">
        <w:rPr>
          <w:b/>
          <w:bCs/>
          <w:u w:val="single"/>
        </w:rPr>
        <w:t>Cooling off period</w:t>
      </w:r>
      <w:r w:rsidRPr="00311F57">
        <w:rPr>
          <w:u w:val="single"/>
        </w:rPr>
        <w:t> </w:t>
      </w:r>
    </w:p>
    <w:p w14:paraId="430DFDED" w14:textId="45A0D257" w:rsidR="00311F57" w:rsidRPr="00311F57" w:rsidRDefault="00311F57" w:rsidP="00070B3E">
      <w:pPr>
        <w:ind w:left="360"/>
        <w:jc w:val="both"/>
      </w:pPr>
      <w:r w:rsidRPr="00311F57">
        <w:t xml:space="preserve">If you </w:t>
      </w:r>
      <w:r w:rsidR="00FD37F0">
        <w:t xml:space="preserve">book onto the course more </w:t>
      </w:r>
      <w:r w:rsidRPr="00311F57">
        <w:t xml:space="preserve">than </w:t>
      </w:r>
      <w:r w:rsidR="00FD37F0">
        <w:t xml:space="preserve">90 </w:t>
      </w:r>
      <w:r w:rsidRPr="00311F57">
        <w:t>days prior to the course commencing, and providing an invoice has not been issued, there will be no charge</w:t>
      </w:r>
      <w:r w:rsidR="00FD37F0">
        <w:t xml:space="preserve"> if you cancel your place.</w:t>
      </w:r>
      <w:r w:rsidRPr="00311F57">
        <w:t> </w:t>
      </w:r>
      <w:r w:rsidRPr="00311F57">
        <w:br/>
      </w:r>
      <w:r>
        <w:br/>
      </w:r>
      <w:r w:rsidRPr="00311F57">
        <w:t xml:space="preserve">If you cancel your course request less than </w:t>
      </w:r>
      <w:r w:rsidR="00FD37F0">
        <w:t>90</w:t>
      </w:r>
      <w:r w:rsidRPr="00311F57">
        <w:t xml:space="preserve"> days prior to the training commencing and an invoice has not been issued, a 25% admin fee will be made. </w:t>
      </w:r>
    </w:p>
    <w:p w14:paraId="445A57B7" w14:textId="77777777" w:rsidR="00311F57" w:rsidRPr="00B209C5" w:rsidRDefault="00311F57" w:rsidP="00070B3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311F57">
        <w:rPr>
          <w:b/>
          <w:bCs/>
          <w:u w:val="single"/>
        </w:rPr>
        <w:t>Issuing an invoice</w:t>
      </w:r>
      <w:r w:rsidRPr="00311F57">
        <w:rPr>
          <w:u w:val="single"/>
        </w:rPr>
        <w:t> </w:t>
      </w:r>
    </w:p>
    <w:p w14:paraId="0AD35613" w14:textId="31D83830" w:rsidR="00311F57" w:rsidRPr="00311F57" w:rsidRDefault="00311F57" w:rsidP="00070B3E">
      <w:pPr>
        <w:ind w:left="360"/>
        <w:jc w:val="both"/>
      </w:pPr>
      <w:r w:rsidRPr="00311F57">
        <w:t>Your invoice</w:t>
      </w:r>
      <w:r w:rsidR="00913597">
        <w:t xml:space="preserve"> </w:t>
      </w:r>
      <w:r w:rsidRPr="00311F57">
        <w:t xml:space="preserve">will state the payment terms which will </w:t>
      </w:r>
      <w:r w:rsidR="00913597">
        <w:t xml:space="preserve">vary from 1-30 days </w:t>
      </w:r>
      <w:r w:rsidRPr="00311F57">
        <w:t>depending on the date of the course. </w:t>
      </w:r>
    </w:p>
    <w:p w14:paraId="6899DCBC" w14:textId="7504629C" w:rsidR="00311F57" w:rsidRPr="00311F57" w:rsidRDefault="00311F57" w:rsidP="00070B3E">
      <w:pPr>
        <w:jc w:val="both"/>
      </w:pPr>
      <w:r w:rsidRPr="00311F57">
        <w:rPr>
          <w:b/>
          <w:bCs/>
        </w:rPr>
        <w:t>The following charges will apply</w:t>
      </w:r>
      <w:r w:rsidR="00FD37F0">
        <w:rPr>
          <w:b/>
          <w:bCs/>
        </w:rPr>
        <w:t xml:space="preserve"> once your invoice has been issued,</w:t>
      </w:r>
      <w:r w:rsidRPr="00311F57">
        <w:rPr>
          <w:b/>
          <w:bCs/>
        </w:rPr>
        <w:t xml:space="preserve"> depending on the notice given to cancel your course:-</w:t>
      </w:r>
      <w:r w:rsidRPr="00311F57">
        <w:t> </w:t>
      </w:r>
    </w:p>
    <w:p w14:paraId="71B5FD39" w14:textId="77777777" w:rsidR="00311F57" w:rsidRPr="00311F57" w:rsidRDefault="00311F57" w:rsidP="00070B3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311F57">
        <w:rPr>
          <w:b/>
          <w:bCs/>
          <w:u w:val="single"/>
        </w:rPr>
        <w:t>Cancellation by Delegate</w:t>
      </w:r>
      <w:r w:rsidRPr="00311F57">
        <w:rPr>
          <w:u w:val="single"/>
        </w:rPr>
        <w:t> </w:t>
      </w:r>
    </w:p>
    <w:p w14:paraId="6DC0673E" w14:textId="1C1E2F3E" w:rsidR="00311F57" w:rsidRPr="00311F57" w:rsidRDefault="00311F57" w:rsidP="00070B3E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311F57">
        <w:t>If you cancel your place </w:t>
      </w:r>
      <w:r w:rsidR="00913597">
        <w:rPr>
          <w:b/>
          <w:bCs/>
        </w:rPr>
        <w:t>9</w:t>
      </w:r>
      <w:r w:rsidRPr="00311F57">
        <w:rPr>
          <w:b/>
          <w:bCs/>
        </w:rPr>
        <w:t>0 days or more before</w:t>
      </w:r>
      <w:r w:rsidRPr="00311F57">
        <w:t xml:space="preserve"> the course start date: we will refund your </w:t>
      </w:r>
      <w:r w:rsidR="00913597">
        <w:t xml:space="preserve">course </w:t>
      </w:r>
      <w:r w:rsidRPr="00311F57">
        <w:t>fee, </w:t>
      </w:r>
      <w:r w:rsidRPr="00311F57">
        <w:rPr>
          <w:b/>
          <w:bCs/>
        </w:rPr>
        <w:t>less a 25% administration charge</w:t>
      </w:r>
      <w:r w:rsidRPr="00311F57">
        <w:t>. </w:t>
      </w:r>
    </w:p>
    <w:p w14:paraId="0945B953" w14:textId="63659E4E" w:rsidR="00311F57" w:rsidRDefault="00311F57" w:rsidP="00070B3E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 w:rsidRPr="00311F57">
        <w:t>If you cancel </w:t>
      </w:r>
      <w:r w:rsidR="00913597">
        <w:rPr>
          <w:b/>
          <w:bCs/>
        </w:rPr>
        <w:t xml:space="preserve">60-89 </w:t>
      </w:r>
      <w:r w:rsidRPr="00311F57">
        <w:rPr>
          <w:b/>
          <w:bCs/>
        </w:rPr>
        <w:t>days before</w:t>
      </w:r>
      <w:r w:rsidRPr="00311F57">
        <w:t> the course: 50% of the course fee is non-refundable. </w:t>
      </w:r>
    </w:p>
    <w:p w14:paraId="39600231" w14:textId="54355778" w:rsidR="00913597" w:rsidRPr="00311F57" w:rsidRDefault="00913597" w:rsidP="0091359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 w:rsidRPr="00311F57">
        <w:t>If you cancel </w:t>
      </w:r>
      <w:r>
        <w:rPr>
          <w:b/>
          <w:bCs/>
        </w:rPr>
        <w:t xml:space="preserve">30-59 </w:t>
      </w:r>
      <w:r w:rsidRPr="00311F57">
        <w:rPr>
          <w:b/>
          <w:bCs/>
        </w:rPr>
        <w:t>days before</w:t>
      </w:r>
      <w:r w:rsidRPr="00311F57">
        <w:t xml:space="preserve"> the course: </w:t>
      </w:r>
      <w:r>
        <w:t>75</w:t>
      </w:r>
      <w:r w:rsidRPr="00311F57">
        <w:t>% of the course fee is non-refundable. </w:t>
      </w:r>
    </w:p>
    <w:p w14:paraId="52E36C1C" w14:textId="40362E7D" w:rsidR="00311F57" w:rsidRPr="00311F57" w:rsidRDefault="00311F57" w:rsidP="00070B3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11F57">
        <w:t>If you cancel </w:t>
      </w:r>
      <w:r w:rsidRPr="00311F57">
        <w:rPr>
          <w:b/>
          <w:bCs/>
        </w:rPr>
        <w:t xml:space="preserve">less than </w:t>
      </w:r>
      <w:r w:rsidR="00913597">
        <w:rPr>
          <w:b/>
          <w:bCs/>
        </w:rPr>
        <w:t xml:space="preserve">30 </w:t>
      </w:r>
      <w:r w:rsidRPr="00311F57">
        <w:rPr>
          <w:b/>
          <w:bCs/>
        </w:rPr>
        <w:t>days</w:t>
      </w:r>
      <w:r w:rsidRPr="00311F57">
        <w:t> before the course: no refund. </w:t>
      </w:r>
    </w:p>
    <w:p w14:paraId="1E47D1D4" w14:textId="77777777" w:rsidR="00311F57" w:rsidRPr="00B209C5" w:rsidRDefault="00311F57" w:rsidP="00070B3E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311F57">
        <w:rPr>
          <w:b/>
          <w:bCs/>
          <w:u w:val="single"/>
        </w:rPr>
        <w:t>Substitutions (Delegate A to Delegate B)</w:t>
      </w:r>
      <w:r w:rsidRPr="00311F57">
        <w:rPr>
          <w:u w:val="single"/>
        </w:rPr>
        <w:t> </w:t>
      </w:r>
    </w:p>
    <w:p w14:paraId="79B74888" w14:textId="2A58D762" w:rsidR="00311F57" w:rsidRPr="00311F57" w:rsidRDefault="00311F57" w:rsidP="00070B3E">
      <w:pPr>
        <w:ind w:left="360"/>
        <w:jc w:val="both"/>
      </w:pPr>
      <w:r w:rsidRPr="00311F57">
        <w:t>You may substitute another person to attend in your place if you give us written notice at least </w:t>
      </w:r>
      <w:r w:rsidR="00913597">
        <w:rPr>
          <w:b/>
          <w:bCs/>
        </w:rPr>
        <w:t>30</w:t>
      </w:r>
      <w:r w:rsidRPr="00311F57">
        <w:rPr>
          <w:b/>
          <w:bCs/>
        </w:rPr>
        <w:t xml:space="preserve"> days</w:t>
      </w:r>
      <w:r w:rsidRPr="00311F57">
        <w:t> before the course. There is no additional cost for substitutions. </w:t>
      </w:r>
    </w:p>
    <w:p w14:paraId="07668BDC" w14:textId="4ECB4C49" w:rsidR="00311F57" w:rsidRPr="00311F57" w:rsidRDefault="00311F57" w:rsidP="00070B3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311F57">
        <w:rPr>
          <w:b/>
          <w:bCs/>
          <w:u w:val="single"/>
        </w:rPr>
        <w:t>Transfers (Change of Date, subject to </w:t>
      </w:r>
      <w:r w:rsidRPr="00B209C5">
        <w:rPr>
          <w:b/>
          <w:bCs/>
          <w:u w:val="single"/>
        </w:rPr>
        <w:t>availability</w:t>
      </w:r>
      <w:r w:rsidRPr="00311F57">
        <w:rPr>
          <w:b/>
          <w:bCs/>
          <w:u w:val="single"/>
        </w:rPr>
        <w:t>)</w:t>
      </w:r>
      <w:r w:rsidRPr="00311F57">
        <w:rPr>
          <w:u w:val="single"/>
        </w:rPr>
        <w:t> </w:t>
      </w:r>
    </w:p>
    <w:p w14:paraId="0410338B" w14:textId="11FFBD88" w:rsidR="00311F57" w:rsidRPr="00311F57" w:rsidRDefault="00311F57" w:rsidP="00070B3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311F57">
        <w:t>More than </w:t>
      </w:r>
      <w:r w:rsidR="00913597">
        <w:rPr>
          <w:b/>
          <w:bCs/>
        </w:rPr>
        <w:t>9</w:t>
      </w:r>
      <w:r w:rsidRPr="00311F57">
        <w:rPr>
          <w:b/>
          <w:bCs/>
        </w:rPr>
        <w:t xml:space="preserve">0 </w:t>
      </w:r>
      <w:proofErr w:type="spellStart"/>
      <w:r w:rsidRPr="00311F57">
        <w:rPr>
          <w:b/>
          <w:bCs/>
        </w:rPr>
        <w:t>days</w:t>
      </w:r>
      <w:r w:rsidR="00FD37F0">
        <w:rPr>
          <w:b/>
          <w:bCs/>
        </w:rPr>
        <w:t xml:space="preserve"> </w:t>
      </w:r>
      <w:r w:rsidRPr="00311F57">
        <w:rPr>
          <w:b/>
          <w:bCs/>
        </w:rPr>
        <w:t>notice</w:t>
      </w:r>
      <w:proofErr w:type="spellEnd"/>
      <w:r w:rsidRPr="00311F57">
        <w:t>: free transfer to another course date (subject to availability). </w:t>
      </w:r>
    </w:p>
    <w:p w14:paraId="7C960CF2" w14:textId="17182686" w:rsidR="00311F57" w:rsidRPr="00311F57" w:rsidRDefault="00FD37F0" w:rsidP="00070B3E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FD37F0">
        <w:rPr>
          <w:b/>
          <w:bCs/>
        </w:rPr>
        <w:t>60-89</w:t>
      </w:r>
      <w:r w:rsidR="00311F57" w:rsidRPr="00FD37F0">
        <w:rPr>
          <w:b/>
          <w:bCs/>
        </w:rPr>
        <w:t xml:space="preserve"> </w:t>
      </w:r>
      <w:proofErr w:type="spellStart"/>
      <w:r w:rsidR="00311F57" w:rsidRPr="00FD37F0">
        <w:rPr>
          <w:b/>
          <w:bCs/>
        </w:rPr>
        <w:t>days notice</w:t>
      </w:r>
      <w:proofErr w:type="spellEnd"/>
      <w:r w:rsidR="00311F57" w:rsidRPr="00311F57">
        <w:t xml:space="preserve">: </w:t>
      </w:r>
      <w:r>
        <w:t>40</w:t>
      </w:r>
      <w:r w:rsidR="00311F57" w:rsidRPr="00311F57">
        <w:t>% of course fee charge applies. </w:t>
      </w:r>
    </w:p>
    <w:p w14:paraId="237B9B9F" w14:textId="75BCF0FF" w:rsidR="00311F57" w:rsidRPr="00311F57" w:rsidRDefault="00311F57" w:rsidP="00311F5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FD37F0">
        <w:rPr>
          <w:b/>
          <w:bCs/>
        </w:rPr>
        <w:lastRenderedPageBreak/>
        <w:t xml:space="preserve">Less than </w:t>
      </w:r>
      <w:r w:rsidR="00FD37F0" w:rsidRPr="00FD37F0">
        <w:rPr>
          <w:b/>
          <w:bCs/>
        </w:rPr>
        <w:t xml:space="preserve">30 </w:t>
      </w:r>
      <w:r w:rsidRPr="00FD37F0">
        <w:rPr>
          <w:b/>
          <w:bCs/>
        </w:rPr>
        <w:t>days’ notice</w:t>
      </w:r>
      <w:r w:rsidRPr="00311F57">
        <w:t>: 50% of the course fee charge for transfer. </w:t>
      </w:r>
      <w:r w:rsidR="00B209C5">
        <w:br/>
      </w:r>
    </w:p>
    <w:p w14:paraId="7F5FB189" w14:textId="26CB4062" w:rsidR="00B209C5" w:rsidRPr="00B209C5" w:rsidRDefault="00311F57" w:rsidP="00721454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right="261"/>
        <w:jc w:val="both"/>
        <w:rPr>
          <w:u w:val="single"/>
        </w:rPr>
      </w:pPr>
      <w:r w:rsidRPr="00311F57">
        <w:rPr>
          <w:b/>
          <w:bCs/>
          <w:u w:val="single"/>
        </w:rPr>
        <w:t>Non-Attendance</w:t>
      </w:r>
      <w:r w:rsidRPr="00311F57">
        <w:rPr>
          <w:u w:val="single"/>
        </w:rPr>
        <w:t> </w:t>
      </w:r>
    </w:p>
    <w:p w14:paraId="580DF867" w14:textId="43A3D643" w:rsidR="00311F57" w:rsidRPr="00311F57" w:rsidRDefault="00311F57" w:rsidP="00B209C5">
      <w:pPr>
        <w:spacing w:line="240" w:lineRule="auto"/>
        <w:ind w:left="360" w:right="261"/>
        <w:jc w:val="both"/>
      </w:pPr>
      <w:r w:rsidRPr="00311F57">
        <w:t>If you do not attend (and have not cancelled in writing), you will not be entitled to a refund or credit. </w:t>
      </w:r>
    </w:p>
    <w:p w14:paraId="2AFF78DC" w14:textId="77777777" w:rsidR="00311F57" w:rsidRPr="00311F57" w:rsidRDefault="00311F57" w:rsidP="00311F5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u w:val="single"/>
        </w:rPr>
      </w:pPr>
      <w:r w:rsidRPr="00311F57">
        <w:rPr>
          <w:b/>
          <w:bCs/>
          <w:u w:val="single"/>
        </w:rPr>
        <w:t>Cancellation by BM (Provider)</w:t>
      </w:r>
      <w:r w:rsidRPr="00311F57">
        <w:rPr>
          <w:u w:val="single"/>
        </w:rPr>
        <w:t> </w:t>
      </w:r>
    </w:p>
    <w:p w14:paraId="25CC69EA" w14:textId="77777777" w:rsidR="00311F57" w:rsidRPr="00311F57" w:rsidRDefault="00311F57" w:rsidP="00311F5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311F57">
        <w:t>We reserve the right to cancel or postpone a course (for example, due to under-subscription or unforeseen circumstances). </w:t>
      </w:r>
    </w:p>
    <w:p w14:paraId="2A97360D" w14:textId="77777777" w:rsidR="00311F57" w:rsidRDefault="00311F57" w:rsidP="00311F57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311F57">
        <w:t>If we cancel: we will notify you as soon as reasonably possible, and you may choose either: </w:t>
      </w:r>
    </w:p>
    <w:p w14:paraId="3D56219D" w14:textId="77777777" w:rsidR="00311F57" w:rsidRDefault="00311F57" w:rsidP="00311F57">
      <w:pPr>
        <w:ind w:left="360"/>
        <w:jc w:val="both"/>
      </w:pPr>
      <w:r w:rsidRPr="00311F57">
        <w:t>a) To transfer to another course date; or </w:t>
      </w:r>
    </w:p>
    <w:p w14:paraId="2E07EF41" w14:textId="615DC432" w:rsidR="00311F57" w:rsidRDefault="00311F57" w:rsidP="00311F57">
      <w:pPr>
        <w:ind w:left="360"/>
        <w:jc w:val="both"/>
      </w:pPr>
      <w:r w:rsidRPr="00311F57">
        <w:t>b) To receive a full refund of your course fee. </w:t>
      </w:r>
    </w:p>
    <w:p w14:paraId="017261C4" w14:textId="7BE2603D" w:rsidR="00311F57" w:rsidRPr="00311F57" w:rsidRDefault="00311F57" w:rsidP="001E630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</w:pPr>
      <w:r w:rsidRPr="00311F57">
        <w:t xml:space="preserve">We will refund within </w:t>
      </w:r>
      <w:r w:rsidR="00BB046F">
        <w:t>28</w:t>
      </w:r>
      <w:r w:rsidRPr="00311F57">
        <w:t xml:space="preserve"> days of your choice. We</w:t>
      </w:r>
      <w:r w:rsidR="001A4AD9">
        <w:t xml:space="preserve"> </w:t>
      </w:r>
      <w:r w:rsidRPr="00311F57">
        <w:t>are </w:t>
      </w:r>
      <w:r w:rsidRPr="00311F57">
        <w:rPr>
          <w:b/>
          <w:bCs/>
        </w:rPr>
        <w:t>not</w:t>
      </w:r>
      <w:r w:rsidRPr="00311F57">
        <w:t> liable for your travel, accommodation or other out-of-pocket costs. </w:t>
      </w:r>
    </w:p>
    <w:p w14:paraId="42FB3D60" w14:textId="77777777" w:rsidR="00311F57" w:rsidRPr="00B209C5" w:rsidRDefault="00311F57" w:rsidP="00311F5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u w:val="single"/>
        </w:rPr>
      </w:pPr>
      <w:r w:rsidRPr="00311F57">
        <w:rPr>
          <w:b/>
          <w:bCs/>
          <w:u w:val="single"/>
        </w:rPr>
        <w:t>Refund Method</w:t>
      </w:r>
      <w:r w:rsidRPr="00311F57">
        <w:rPr>
          <w:u w:val="single"/>
        </w:rPr>
        <w:t> </w:t>
      </w:r>
    </w:p>
    <w:p w14:paraId="1C1D44D1" w14:textId="3B1C2D1B" w:rsidR="00311F57" w:rsidRPr="00311F57" w:rsidRDefault="00311F57" w:rsidP="00311F57">
      <w:pPr>
        <w:ind w:left="360"/>
        <w:jc w:val="both"/>
      </w:pPr>
      <w:r w:rsidRPr="00311F57">
        <w:t>Any refund will be made by the same method you used to pay, unless otherwise agreed in writing. </w:t>
      </w:r>
    </w:p>
    <w:p w14:paraId="0EB539AF" w14:textId="77777777" w:rsidR="00311F57" w:rsidRPr="00B209C5" w:rsidRDefault="00311F57" w:rsidP="00311F57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311F57">
        <w:rPr>
          <w:b/>
          <w:bCs/>
          <w:u w:val="single"/>
        </w:rPr>
        <w:t>Exceptions</w:t>
      </w:r>
      <w:r w:rsidRPr="00311F57">
        <w:rPr>
          <w:u w:val="single"/>
        </w:rPr>
        <w:t> </w:t>
      </w:r>
    </w:p>
    <w:p w14:paraId="29E5CAA3" w14:textId="76494F66" w:rsidR="00311F57" w:rsidRPr="00311F57" w:rsidRDefault="00311F57" w:rsidP="00311F57">
      <w:pPr>
        <w:ind w:left="360"/>
        <w:jc w:val="both"/>
      </w:pPr>
      <w:r w:rsidRPr="00311F57">
        <w:t xml:space="preserve">In certain extenuating circumstances (e.g. illness, bereavement), we may, at our discretion, offer </w:t>
      </w:r>
      <w:r>
        <w:t xml:space="preserve">a </w:t>
      </w:r>
      <w:r w:rsidRPr="00311F57">
        <w:t xml:space="preserve">transfer </w:t>
      </w:r>
      <w:r>
        <w:t xml:space="preserve">to an alternative date </w:t>
      </w:r>
      <w:r w:rsidRPr="00311F57">
        <w:t>even outside the standard terms. You must provide suitable evidence (for example, a doctor’s note) for consideration. </w:t>
      </w:r>
    </w:p>
    <w:p w14:paraId="6F9BA3D8" w14:textId="77777777" w:rsidR="00311F57" w:rsidRPr="00311F57" w:rsidRDefault="00311F57" w:rsidP="00311F57">
      <w:r w:rsidRPr="00311F57">
        <w:t> </w:t>
      </w:r>
    </w:p>
    <w:p w14:paraId="11020A73" w14:textId="77777777" w:rsidR="00E05F1A" w:rsidRDefault="00E05F1A" w:rsidP="00311F57"/>
    <w:sectPr w:rsidR="00E05F1A" w:rsidSect="00311F57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E3C3" w14:textId="77777777" w:rsidR="00A02692" w:rsidRDefault="00A02692" w:rsidP="00311F57">
      <w:pPr>
        <w:spacing w:after="0" w:line="240" w:lineRule="auto"/>
      </w:pPr>
      <w:r>
        <w:separator/>
      </w:r>
    </w:p>
  </w:endnote>
  <w:endnote w:type="continuationSeparator" w:id="0">
    <w:p w14:paraId="6E8F235D" w14:textId="77777777" w:rsidR="00A02692" w:rsidRDefault="00A02692" w:rsidP="0031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A176" w14:textId="77777777" w:rsidR="00A02692" w:rsidRDefault="00A02692" w:rsidP="00311F57">
      <w:pPr>
        <w:spacing w:after="0" w:line="240" w:lineRule="auto"/>
      </w:pPr>
      <w:r>
        <w:separator/>
      </w:r>
    </w:p>
  </w:footnote>
  <w:footnote w:type="continuationSeparator" w:id="0">
    <w:p w14:paraId="781E440A" w14:textId="77777777" w:rsidR="00A02692" w:rsidRDefault="00A02692" w:rsidP="0031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BC0A" w14:textId="001D95CF" w:rsidR="00311F57" w:rsidRDefault="00311F57" w:rsidP="00311F57">
    <w:pPr>
      <w:pStyle w:val="Header"/>
      <w:jc w:val="center"/>
    </w:pPr>
    <w:r w:rsidRPr="00311F57">
      <w:rPr>
        <w:noProof/>
        <w:lang w:val="en-US"/>
      </w:rPr>
      <w:drawing>
        <wp:inline distT="0" distB="0" distL="0" distR="0" wp14:anchorId="0A08E346" wp14:editId="581BB678">
          <wp:extent cx="1841500" cy="631371"/>
          <wp:effectExtent l="0" t="0" r="6350" b="0"/>
          <wp:docPr id="1838836098" name="Picture 2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93100" name="Picture 2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476" cy="63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355"/>
    <w:multiLevelType w:val="multilevel"/>
    <w:tmpl w:val="AFCA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169C6"/>
    <w:multiLevelType w:val="multilevel"/>
    <w:tmpl w:val="1E760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7F2C5D"/>
    <w:multiLevelType w:val="multilevel"/>
    <w:tmpl w:val="5FEE9E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85A1583"/>
    <w:multiLevelType w:val="multilevel"/>
    <w:tmpl w:val="E4B8E4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8B47A1"/>
    <w:multiLevelType w:val="multilevel"/>
    <w:tmpl w:val="7E7280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476A4"/>
    <w:multiLevelType w:val="multilevel"/>
    <w:tmpl w:val="79A42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80EA7"/>
    <w:multiLevelType w:val="multilevel"/>
    <w:tmpl w:val="A61AD9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7BA2592"/>
    <w:multiLevelType w:val="multilevel"/>
    <w:tmpl w:val="08948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87A670D"/>
    <w:multiLevelType w:val="multilevel"/>
    <w:tmpl w:val="333855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35CF1"/>
    <w:multiLevelType w:val="multilevel"/>
    <w:tmpl w:val="C9CAF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678B7"/>
    <w:multiLevelType w:val="multilevel"/>
    <w:tmpl w:val="C9B25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3245C0D"/>
    <w:multiLevelType w:val="multilevel"/>
    <w:tmpl w:val="57024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76A7F"/>
    <w:multiLevelType w:val="multilevel"/>
    <w:tmpl w:val="A282C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D4C4B7E"/>
    <w:multiLevelType w:val="multilevel"/>
    <w:tmpl w:val="DDD0F4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DEE02E6"/>
    <w:multiLevelType w:val="multilevel"/>
    <w:tmpl w:val="DCA668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920CE1"/>
    <w:multiLevelType w:val="multilevel"/>
    <w:tmpl w:val="8A3CB3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415C0"/>
    <w:multiLevelType w:val="multilevel"/>
    <w:tmpl w:val="4692C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DD432C"/>
    <w:multiLevelType w:val="multilevel"/>
    <w:tmpl w:val="3CCA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902E7D"/>
    <w:multiLevelType w:val="multilevel"/>
    <w:tmpl w:val="6360C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51420174">
    <w:abstractNumId w:val="0"/>
  </w:num>
  <w:num w:numId="2" w16cid:durableId="881021195">
    <w:abstractNumId w:val="17"/>
  </w:num>
  <w:num w:numId="3" w16cid:durableId="624391918">
    <w:abstractNumId w:val="9"/>
  </w:num>
  <w:num w:numId="4" w16cid:durableId="1337923994">
    <w:abstractNumId w:val="11"/>
  </w:num>
  <w:num w:numId="5" w16cid:durableId="1954820578">
    <w:abstractNumId w:val="10"/>
  </w:num>
  <w:num w:numId="6" w16cid:durableId="606698520">
    <w:abstractNumId w:val="13"/>
  </w:num>
  <w:num w:numId="7" w16cid:durableId="749161244">
    <w:abstractNumId w:val="3"/>
  </w:num>
  <w:num w:numId="8" w16cid:durableId="193737717">
    <w:abstractNumId w:val="5"/>
  </w:num>
  <w:num w:numId="9" w16cid:durableId="1491363659">
    <w:abstractNumId w:val="15"/>
  </w:num>
  <w:num w:numId="10" w16cid:durableId="1301036107">
    <w:abstractNumId w:val="2"/>
  </w:num>
  <w:num w:numId="11" w16cid:durableId="136996927">
    <w:abstractNumId w:val="7"/>
  </w:num>
  <w:num w:numId="12" w16cid:durableId="721709509">
    <w:abstractNumId w:val="18"/>
  </w:num>
  <w:num w:numId="13" w16cid:durableId="1023748638">
    <w:abstractNumId w:val="16"/>
  </w:num>
  <w:num w:numId="14" w16cid:durableId="1374766166">
    <w:abstractNumId w:val="4"/>
  </w:num>
  <w:num w:numId="15" w16cid:durableId="620846827">
    <w:abstractNumId w:val="12"/>
  </w:num>
  <w:num w:numId="16" w16cid:durableId="1371808676">
    <w:abstractNumId w:val="6"/>
  </w:num>
  <w:num w:numId="17" w16cid:durableId="854616292">
    <w:abstractNumId w:val="1"/>
  </w:num>
  <w:num w:numId="18" w16cid:durableId="658121729">
    <w:abstractNumId w:val="8"/>
  </w:num>
  <w:num w:numId="19" w16cid:durableId="972442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57"/>
    <w:rsid w:val="00070B3E"/>
    <w:rsid w:val="000F2067"/>
    <w:rsid w:val="00154432"/>
    <w:rsid w:val="001A4AD9"/>
    <w:rsid w:val="001E6302"/>
    <w:rsid w:val="00311F57"/>
    <w:rsid w:val="00637ED9"/>
    <w:rsid w:val="006D4675"/>
    <w:rsid w:val="00706F98"/>
    <w:rsid w:val="00721454"/>
    <w:rsid w:val="00913597"/>
    <w:rsid w:val="00A02692"/>
    <w:rsid w:val="00B209C5"/>
    <w:rsid w:val="00BB046F"/>
    <w:rsid w:val="00E05F1A"/>
    <w:rsid w:val="00F2695A"/>
    <w:rsid w:val="00F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3C74E"/>
  <w15:chartTrackingRefBased/>
  <w15:docId w15:val="{8799AE13-0BC5-4F48-9D6F-5560965D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F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57"/>
  </w:style>
  <w:style w:type="paragraph" w:styleId="Footer">
    <w:name w:val="footer"/>
    <w:basedOn w:val="Normal"/>
    <w:link w:val="FooterChar"/>
    <w:uiPriority w:val="99"/>
    <w:unhideWhenUsed/>
    <w:rsid w:val="00311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Crossley</dc:creator>
  <cp:keywords/>
  <dc:description/>
  <cp:lastModifiedBy>Vicki Crossley</cp:lastModifiedBy>
  <cp:revision>7</cp:revision>
  <cp:lastPrinted>2025-12-01T13:37:00Z</cp:lastPrinted>
  <dcterms:created xsi:type="dcterms:W3CDTF">2025-12-05T13:43:00Z</dcterms:created>
  <dcterms:modified xsi:type="dcterms:W3CDTF">2026-01-13T14:48:00Z</dcterms:modified>
</cp:coreProperties>
</file>